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3" w:type="dxa"/>
        <w:tblInd w:w="-213" w:type="dxa"/>
        <w:tblCellMar>
          <w:left w:w="70" w:type="dxa"/>
          <w:right w:w="70" w:type="dxa"/>
        </w:tblCellMar>
        <w:tblLook w:val="04A0" w:firstRow="1" w:lastRow="0" w:firstColumn="1" w:lastColumn="0" w:noHBand="0" w:noVBand="1"/>
      </w:tblPr>
      <w:tblGrid>
        <w:gridCol w:w="213"/>
        <w:gridCol w:w="1205"/>
        <w:gridCol w:w="499"/>
        <w:gridCol w:w="1703"/>
        <w:gridCol w:w="220"/>
        <w:gridCol w:w="6573"/>
      </w:tblGrid>
      <w:tr w:rsidR="00685338" w:rsidRPr="00685338" w:rsidTr="00413AEE">
        <w:trPr>
          <w:gridBefore w:val="1"/>
          <w:wBefore w:w="213" w:type="dxa"/>
          <w:trHeight w:val="285"/>
        </w:trPr>
        <w:tc>
          <w:tcPr>
            <w:tcW w:w="10200" w:type="dxa"/>
            <w:gridSpan w:val="5"/>
            <w:tcBorders>
              <w:top w:val="nil"/>
              <w:left w:val="nil"/>
              <w:bottom w:val="nil"/>
              <w:right w:val="nil"/>
            </w:tcBorders>
            <w:shd w:val="clear" w:color="000000" w:fill="FFFFFF"/>
            <w:noWrap/>
            <w:vAlign w:val="bottom"/>
            <w:hideMark/>
          </w:tcPr>
          <w:p w:rsidR="00685338" w:rsidRPr="00685338" w:rsidRDefault="00CB2BEE" w:rsidP="00685338">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685338" w:rsidRPr="00685338">
              <w:rPr>
                <w:rFonts w:ascii="Arial" w:eastAsia="Times New Roman" w:hAnsi="Arial" w:cs="Arial"/>
                <w:b/>
                <w:bCs/>
                <w:color w:val="000000"/>
                <w:sz w:val="20"/>
                <w:szCs w:val="20"/>
                <w:lang w:eastAsia="es-MX"/>
              </w:rPr>
              <w:t>CONSEJO PARA EL DESARROLLO ECONOMICO DE SINALOA</w:t>
            </w:r>
          </w:p>
        </w:tc>
      </w:tr>
      <w:tr w:rsidR="00685338" w:rsidRPr="00685338" w:rsidTr="00413AEE">
        <w:trPr>
          <w:gridBefore w:val="1"/>
          <w:wBefore w:w="213" w:type="dxa"/>
          <w:trHeight w:val="285"/>
        </w:trPr>
        <w:tc>
          <w:tcPr>
            <w:tcW w:w="10200" w:type="dxa"/>
            <w:gridSpan w:val="5"/>
            <w:tcBorders>
              <w:top w:val="nil"/>
              <w:left w:val="nil"/>
              <w:bottom w:val="nil"/>
              <w:right w:val="nil"/>
            </w:tcBorders>
            <w:shd w:val="clear" w:color="000000" w:fill="FFFFFF"/>
            <w:noWrap/>
            <w:vAlign w:val="bottom"/>
            <w:hideMark/>
          </w:tcPr>
          <w:p w:rsidR="00685338" w:rsidRPr="00685338" w:rsidRDefault="00685338" w:rsidP="00685338">
            <w:pPr>
              <w:spacing w:after="0" w:line="240" w:lineRule="auto"/>
              <w:jc w:val="center"/>
              <w:rPr>
                <w:rFonts w:ascii="Arial" w:eastAsia="Times New Roman" w:hAnsi="Arial" w:cs="Arial"/>
                <w:b/>
                <w:bCs/>
                <w:color w:val="000000"/>
                <w:sz w:val="20"/>
                <w:szCs w:val="20"/>
                <w:lang w:eastAsia="es-MX"/>
              </w:rPr>
            </w:pPr>
            <w:r w:rsidRPr="00685338">
              <w:rPr>
                <w:rFonts w:ascii="Arial" w:eastAsia="Times New Roman" w:hAnsi="Arial" w:cs="Arial"/>
                <w:b/>
                <w:bCs/>
                <w:color w:val="000000"/>
                <w:sz w:val="20"/>
                <w:szCs w:val="20"/>
                <w:lang w:eastAsia="es-MX"/>
              </w:rPr>
              <w:t>NOTAS A LOS ESTADOS FINANCIEROS</w:t>
            </w:r>
          </w:p>
        </w:tc>
      </w:tr>
      <w:tr w:rsidR="00685338" w:rsidRPr="00685338" w:rsidTr="00413AEE">
        <w:trPr>
          <w:gridBefore w:val="1"/>
          <w:wBefore w:w="213" w:type="dxa"/>
          <w:trHeight w:val="285"/>
        </w:trPr>
        <w:tc>
          <w:tcPr>
            <w:tcW w:w="10200" w:type="dxa"/>
            <w:gridSpan w:val="5"/>
            <w:tcBorders>
              <w:top w:val="nil"/>
              <w:left w:val="nil"/>
              <w:bottom w:val="nil"/>
              <w:right w:val="nil"/>
            </w:tcBorders>
            <w:shd w:val="clear" w:color="000000" w:fill="FFFFFF"/>
            <w:noWrap/>
            <w:vAlign w:val="bottom"/>
            <w:hideMark/>
          </w:tcPr>
          <w:p w:rsidR="00685338" w:rsidRPr="00685338" w:rsidRDefault="00685338" w:rsidP="00685338">
            <w:pPr>
              <w:spacing w:after="0" w:line="240" w:lineRule="auto"/>
              <w:jc w:val="center"/>
              <w:rPr>
                <w:rFonts w:ascii="Arial" w:eastAsia="Times New Roman" w:hAnsi="Arial" w:cs="Arial"/>
                <w:b/>
                <w:bCs/>
                <w:color w:val="000000"/>
                <w:sz w:val="20"/>
                <w:szCs w:val="20"/>
                <w:lang w:eastAsia="es-MX"/>
              </w:rPr>
            </w:pPr>
            <w:r w:rsidRPr="00685338">
              <w:rPr>
                <w:rFonts w:ascii="Arial" w:eastAsia="Times New Roman" w:hAnsi="Arial" w:cs="Arial"/>
                <w:b/>
                <w:bCs/>
                <w:color w:val="000000"/>
                <w:sz w:val="20"/>
                <w:szCs w:val="20"/>
                <w:lang w:eastAsia="es-MX"/>
              </w:rPr>
              <w:t>c) NOTAS DE GESTIÓN ADMINISTRATIVA</w:t>
            </w:r>
          </w:p>
        </w:tc>
      </w:tr>
      <w:tr w:rsidR="00685338" w:rsidRPr="00685338" w:rsidTr="00413AEE">
        <w:trPr>
          <w:gridBefore w:val="1"/>
          <w:wBefore w:w="213" w:type="dxa"/>
          <w:trHeight w:val="285"/>
        </w:trPr>
        <w:tc>
          <w:tcPr>
            <w:tcW w:w="10200" w:type="dxa"/>
            <w:gridSpan w:val="5"/>
            <w:tcBorders>
              <w:top w:val="nil"/>
              <w:left w:val="nil"/>
              <w:bottom w:val="nil"/>
              <w:right w:val="nil"/>
            </w:tcBorders>
            <w:shd w:val="clear" w:color="000000" w:fill="FFFFFF"/>
            <w:noWrap/>
            <w:vAlign w:val="bottom"/>
            <w:hideMark/>
          </w:tcPr>
          <w:p w:rsidR="00685338" w:rsidRDefault="00685338" w:rsidP="002406CF">
            <w:pPr>
              <w:spacing w:after="0" w:line="240" w:lineRule="auto"/>
              <w:jc w:val="center"/>
              <w:rPr>
                <w:rFonts w:ascii="Arial" w:eastAsia="Times New Roman" w:hAnsi="Arial" w:cs="Arial"/>
                <w:b/>
                <w:bCs/>
                <w:color w:val="000000"/>
                <w:sz w:val="20"/>
                <w:szCs w:val="20"/>
                <w:lang w:eastAsia="es-MX"/>
              </w:rPr>
            </w:pPr>
            <w:r w:rsidRPr="00685338">
              <w:rPr>
                <w:rFonts w:ascii="Arial" w:eastAsia="Times New Roman" w:hAnsi="Arial" w:cs="Arial"/>
                <w:b/>
                <w:bCs/>
                <w:color w:val="000000"/>
                <w:sz w:val="20"/>
                <w:szCs w:val="20"/>
                <w:lang w:eastAsia="es-MX"/>
              </w:rPr>
              <w:t>Al 3</w:t>
            </w:r>
            <w:r w:rsidR="00D951EF">
              <w:rPr>
                <w:rFonts w:ascii="Arial" w:eastAsia="Times New Roman" w:hAnsi="Arial" w:cs="Arial"/>
                <w:b/>
                <w:bCs/>
                <w:color w:val="000000"/>
                <w:sz w:val="20"/>
                <w:szCs w:val="20"/>
                <w:lang w:eastAsia="es-MX"/>
              </w:rPr>
              <w:t>1</w:t>
            </w:r>
            <w:r w:rsidR="004A0B31">
              <w:rPr>
                <w:rFonts w:ascii="Arial" w:eastAsia="Times New Roman" w:hAnsi="Arial" w:cs="Arial"/>
                <w:b/>
                <w:bCs/>
                <w:color w:val="000000"/>
                <w:sz w:val="20"/>
                <w:szCs w:val="20"/>
                <w:lang w:eastAsia="es-MX"/>
              </w:rPr>
              <w:t xml:space="preserve"> </w:t>
            </w:r>
            <w:r w:rsidRPr="00685338">
              <w:rPr>
                <w:rFonts w:ascii="Arial" w:eastAsia="Times New Roman" w:hAnsi="Arial" w:cs="Arial"/>
                <w:b/>
                <w:bCs/>
                <w:color w:val="000000"/>
                <w:sz w:val="20"/>
                <w:szCs w:val="20"/>
                <w:lang w:eastAsia="es-MX"/>
              </w:rPr>
              <w:t xml:space="preserve">de </w:t>
            </w:r>
            <w:r w:rsidR="00D951EF">
              <w:rPr>
                <w:rFonts w:ascii="Arial" w:eastAsia="Times New Roman" w:hAnsi="Arial" w:cs="Arial"/>
                <w:b/>
                <w:bCs/>
                <w:color w:val="000000"/>
                <w:sz w:val="20"/>
                <w:szCs w:val="20"/>
                <w:lang w:eastAsia="es-MX"/>
              </w:rPr>
              <w:t>diciembre</w:t>
            </w:r>
            <w:r w:rsidRPr="00685338">
              <w:rPr>
                <w:rFonts w:ascii="Arial" w:eastAsia="Times New Roman" w:hAnsi="Arial" w:cs="Arial"/>
                <w:b/>
                <w:bCs/>
                <w:color w:val="000000"/>
                <w:sz w:val="20"/>
                <w:szCs w:val="20"/>
                <w:lang w:eastAsia="es-MX"/>
              </w:rPr>
              <w:t xml:space="preserve"> de 20</w:t>
            </w:r>
            <w:r w:rsidR="00D706D6">
              <w:rPr>
                <w:rFonts w:ascii="Arial" w:eastAsia="Times New Roman" w:hAnsi="Arial" w:cs="Arial"/>
                <w:b/>
                <w:bCs/>
                <w:color w:val="000000"/>
                <w:sz w:val="20"/>
                <w:szCs w:val="20"/>
                <w:lang w:eastAsia="es-MX"/>
              </w:rPr>
              <w:t>20</w:t>
            </w:r>
          </w:p>
          <w:p w:rsidR="004E02D7" w:rsidRPr="00685338" w:rsidRDefault="004E02D7" w:rsidP="002406CF">
            <w:pPr>
              <w:spacing w:after="0" w:line="240" w:lineRule="auto"/>
              <w:jc w:val="center"/>
              <w:rPr>
                <w:rFonts w:ascii="Arial" w:eastAsia="Times New Roman" w:hAnsi="Arial" w:cs="Arial"/>
                <w:b/>
                <w:bCs/>
                <w:color w:val="000000"/>
                <w:sz w:val="20"/>
                <w:szCs w:val="20"/>
                <w:lang w:eastAsia="es-MX"/>
              </w:rPr>
            </w:pPr>
          </w:p>
        </w:tc>
      </w:tr>
      <w:tr w:rsidR="00685338" w:rsidRPr="00685338" w:rsidTr="00413AEE">
        <w:trPr>
          <w:gridBefore w:val="1"/>
          <w:wBefore w:w="213" w:type="dxa"/>
          <w:trHeight w:val="285"/>
        </w:trPr>
        <w:tc>
          <w:tcPr>
            <w:tcW w:w="1704" w:type="dxa"/>
            <w:gridSpan w:val="2"/>
            <w:tcBorders>
              <w:top w:val="nil"/>
              <w:left w:val="nil"/>
              <w:bottom w:val="nil"/>
              <w:right w:val="nil"/>
            </w:tcBorders>
            <w:shd w:val="clear" w:color="000000" w:fill="FFFFFF"/>
            <w:noWrap/>
            <w:vAlign w:val="bottom"/>
            <w:hideMark/>
          </w:tcPr>
          <w:p w:rsidR="00685338" w:rsidRPr="00685338" w:rsidRDefault="00685338" w:rsidP="00685338">
            <w:pPr>
              <w:spacing w:after="0" w:line="240" w:lineRule="auto"/>
              <w:rPr>
                <w:rFonts w:ascii="Arial" w:eastAsia="Times New Roman" w:hAnsi="Arial" w:cs="Arial"/>
                <w:b/>
                <w:bCs/>
                <w:color w:val="000000"/>
                <w:sz w:val="20"/>
                <w:szCs w:val="20"/>
                <w:lang w:eastAsia="es-MX"/>
              </w:rPr>
            </w:pPr>
            <w:r w:rsidRPr="00685338">
              <w:rPr>
                <w:rFonts w:ascii="Arial" w:eastAsia="Times New Roman" w:hAnsi="Arial" w:cs="Arial"/>
                <w:b/>
                <w:bCs/>
                <w:color w:val="000000"/>
                <w:sz w:val="20"/>
                <w:szCs w:val="20"/>
                <w:lang w:eastAsia="es-MX"/>
              </w:rPr>
              <w:t> </w:t>
            </w:r>
          </w:p>
        </w:tc>
        <w:tc>
          <w:tcPr>
            <w:tcW w:w="1703" w:type="dxa"/>
            <w:tcBorders>
              <w:top w:val="nil"/>
              <w:left w:val="nil"/>
              <w:bottom w:val="nil"/>
              <w:right w:val="nil"/>
            </w:tcBorders>
            <w:shd w:val="clear" w:color="000000" w:fill="FFFFFF"/>
            <w:noWrap/>
            <w:vAlign w:val="center"/>
            <w:hideMark/>
          </w:tcPr>
          <w:p w:rsidR="00685338" w:rsidRPr="00685338" w:rsidRDefault="00685338" w:rsidP="00685338">
            <w:pPr>
              <w:spacing w:after="0" w:line="240" w:lineRule="auto"/>
              <w:rPr>
                <w:rFonts w:ascii="Arial" w:eastAsia="Times New Roman" w:hAnsi="Arial" w:cs="Arial"/>
                <w:color w:val="000000"/>
                <w:sz w:val="20"/>
                <w:szCs w:val="20"/>
                <w:lang w:eastAsia="es-MX"/>
              </w:rPr>
            </w:pPr>
            <w:r w:rsidRPr="00685338">
              <w:rPr>
                <w:rFonts w:ascii="Arial" w:eastAsia="Times New Roman" w:hAnsi="Arial" w:cs="Arial"/>
                <w:color w:val="000000"/>
                <w:sz w:val="20"/>
                <w:szCs w:val="20"/>
                <w:lang w:eastAsia="es-MX"/>
              </w:rPr>
              <w:t> </w:t>
            </w:r>
          </w:p>
        </w:tc>
        <w:tc>
          <w:tcPr>
            <w:tcW w:w="6793" w:type="dxa"/>
            <w:gridSpan w:val="2"/>
            <w:tcBorders>
              <w:top w:val="nil"/>
              <w:left w:val="nil"/>
              <w:bottom w:val="nil"/>
              <w:right w:val="nil"/>
            </w:tcBorders>
            <w:shd w:val="clear" w:color="000000" w:fill="FFFFFF"/>
            <w:vAlign w:val="bottom"/>
            <w:hideMark/>
          </w:tcPr>
          <w:p w:rsidR="00685338" w:rsidRPr="00685338" w:rsidRDefault="00685338" w:rsidP="00685338">
            <w:pPr>
              <w:spacing w:after="0" w:line="240" w:lineRule="auto"/>
              <w:jc w:val="both"/>
              <w:rPr>
                <w:rFonts w:ascii="Arial" w:eastAsia="Times New Roman" w:hAnsi="Arial" w:cs="Arial"/>
                <w:color w:val="000000"/>
                <w:sz w:val="20"/>
                <w:szCs w:val="20"/>
                <w:lang w:eastAsia="es-MX"/>
              </w:rPr>
            </w:pPr>
            <w:r w:rsidRPr="00685338">
              <w:rPr>
                <w:rFonts w:ascii="Arial" w:eastAsia="Times New Roman" w:hAnsi="Arial" w:cs="Arial"/>
                <w:color w:val="000000"/>
                <w:sz w:val="20"/>
                <w:szCs w:val="20"/>
                <w:lang w:eastAsia="es-MX"/>
              </w:rPr>
              <w:t> </w:t>
            </w:r>
          </w:p>
        </w:tc>
      </w:tr>
      <w:tr w:rsidR="00685338" w:rsidRPr="002262F0" w:rsidTr="00413AEE">
        <w:tblPrEx>
          <w:tblCellMar>
            <w:left w:w="71" w:type="dxa"/>
            <w:right w:w="71" w:type="dxa"/>
          </w:tblCellMar>
          <w:tblLook w:val="0000" w:firstRow="0" w:lastRow="0" w:firstColumn="0" w:lastColumn="0" w:noHBand="0" w:noVBand="0"/>
        </w:tblPrEx>
        <w:trPr>
          <w:gridAfter w:val="1"/>
          <w:wAfter w:w="6573" w:type="dxa"/>
        </w:trPr>
        <w:tc>
          <w:tcPr>
            <w:tcW w:w="1418" w:type="dxa"/>
            <w:gridSpan w:val="2"/>
          </w:tcPr>
          <w:p w:rsidR="00685338" w:rsidRPr="002262F0" w:rsidRDefault="00685338" w:rsidP="006A0C92">
            <w:pPr>
              <w:jc w:val="both"/>
              <w:rPr>
                <w:rFonts w:ascii="Arial" w:hAnsi="Arial"/>
                <w:b/>
              </w:rPr>
            </w:pPr>
            <w:r>
              <w:rPr>
                <w:rFonts w:ascii="Arial" w:hAnsi="Arial"/>
                <w:b/>
              </w:rPr>
              <w:t>Nota 1.-</w:t>
            </w:r>
          </w:p>
        </w:tc>
        <w:tc>
          <w:tcPr>
            <w:tcW w:w="2422" w:type="dxa"/>
            <w:gridSpan w:val="3"/>
          </w:tcPr>
          <w:p w:rsidR="00685338" w:rsidRPr="002262F0" w:rsidRDefault="00685338" w:rsidP="006A0C92">
            <w:pPr>
              <w:jc w:val="both"/>
              <w:rPr>
                <w:rFonts w:ascii="Arial" w:hAnsi="Arial"/>
                <w:b/>
                <w:u w:val="single"/>
              </w:rPr>
            </w:pPr>
            <w:r w:rsidRPr="002262F0">
              <w:rPr>
                <w:rFonts w:ascii="Arial" w:hAnsi="Arial"/>
                <w:b/>
                <w:u w:val="single"/>
              </w:rPr>
              <w:t>Constitución y objeto</w:t>
            </w:r>
          </w:p>
        </w:tc>
      </w:tr>
    </w:tbl>
    <w:p w:rsidR="00685338" w:rsidRPr="002262F0" w:rsidRDefault="00685338" w:rsidP="00685338">
      <w:pPr>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 xml:space="preserve">El Consejo para el Desarrollo Económico de Sinaloa (CODESIN) fue constituido mediante Decreto publicado en el Periódico Oficial “El Estado de Sinaloa” el día Miércoles 10 de Abril de 1996, cuya creación se encuentra prevista en la “Ley de Fomento a la Inversión para el Desarrollo Económico de Sinaloa”, de fecha 27 de Noviembre de 1996; el acta de protocolización </w:t>
      </w:r>
      <w:r>
        <w:rPr>
          <w:rFonts w:ascii="Arial" w:hAnsi="Arial"/>
        </w:rPr>
        <w:t xml:space="preserve">de la constitución </w:t>
      </w:r>
      <w:r w:rsidRPr="002262F0">
        <w:rPr>
          <w:rFonts w:ascii="Arial" w:hAnsi="Arial"/>
        </w:rPr>
        <w:t xml:space="preserve">del Consejo para el Desarrollo Económico de Sinaloa, se sustenta mediante escritura pública número 2900 de fecha 29 de Diciembre de 1998 </w:t>
      </w:r>
      <w:r>
        <w:rPr>
          <w:rFonts w:ascii="Arial" w:hAnsi="Arial"/>
        </w:rPr>
        <w:t xml:space="preserve">pasada </w:t>
      </w:r>
      <w:r w:rsidRPr="002262F0">
        <w:rPr>
          <w:rFonts w:ascii="Arial" w:hAnsi="Arial"/>
        </w:rPr>
        <w:t xml:space="preserve">ante la fé del  Notario Público número 156 en el Estado de Sinaloa Licenciado Rene González Obeso, su operación se rige por su reglamento interior el cual fue aprobado por el Pleno de CODESIN  en su LXIV asamblea celebrada el día 20 de Mayo de 2003 y publicado en el periódico oficial “El Estado de Sinaloa” el día 08 de Septiembre de 2006 </w:t>
      </w:r>
    </w:p>
    <w:p w:rsidR="005E4BEC" w:rsidRPr="002262F0" w:rsidRDefault="005E4BEC" w:rsidP="00685338">
      <w:pPr>
        <w:numPr>
          <w:ilvl w:val="12"/>
          <w:numId w:val="0"/>
        </w:numPr>
        <w:ind w:left="567" w:hanging="567"/>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La jurisdicción del organismo incluye todo el Estado de Sinaloa.</w:t>
      </w:r>
    </w:p>
    <w:p w:rsidR="005E4BEC" w:rsidRPr="002262F0" w:rsidRDefault="005E4BEC" w:rsidP="00685338">
      <w:pPr>
        <w:numPr>
          <w:ilvl w:val="12"/>
          <w:numId w:val="0"/>
        </w:numPr>
        <w:ind w:left="567" w:hanging="567"/>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El Consejo para el Desarrollo Económico de Sinaloa, tiene principalmente los siguientes objetivos:</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Agrupar a los responsables de las políticas económicas, tanto del Gobierno del Estado como de la comunidad empresarial sinaloense, en una estructura formal de análisis y diálogo que tenga permanencia, para planear y actuar con una visión de largo plazo.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Lograr que el número de empleos productivos que se cree </w:t>
      </w:r>
      <w:r w:rsidR="00CB2BEE" w:rsidRPr="002262F0">
        <w:rPr>
          <w:rFonts w:ascii="Arial" w:hAnsi="Arial"/>
        </w:rPr>
        <w:t>cada año</w:t>
      </w:r>
      <w:r w:rsidRPr="002262F0">
        <w:rPr>
          <w:rFonts w:ascii="Arial" w:hAnsi="Arial"/>
        </w:rPr>
        <w:t xml:space="preserve"> en las empresas de Sinaloa, sea superior al crecimiento de la población económicamente activa del estado.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Proponer un proyecto económico de largo plazo del Estado, así como de la planeación estratégica que lo sustente, de los mecanismos de medición de avance y de la difusión que de estos conceptos deba realizarse.</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Establecer contacto y relación constante con la sociedad sinaloense para, detectar, revisar, apoyar en su caso, y promover, todas aquellas ideas o proyectos que acerquen al Estado a sus metas de crecimiento económico.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Establecer una estrecha coordinación y colaboración con </w:t>
      </w:r>
      <w:smartTag w:uri="urn:schemas-microsoft-com:office:smarttags" w:element="PersonName">
        <w:smartTagPr>
          <w:attr w:name="ProductID" w:val="la Secretar￭a"/>
        </w:smartTagPr>
        <w:r w:rsidRPr="002262F0">
          <w:rPr>
            <w:rFonts w:ascii="Arial" w:hAnsi="Arial"/>
          </w:rPr>
          <w:t>la Secretaría</w:t>
        </w:r>
      </w:smartTag>
      <w:r w:rsidRPr="002262F0">
        <w:rPr>
          <w:rFonts w:ascii="Arial" w:hAnsi="Arial"/>
        </w:rPr>
        <w:t xml:space="preserve"> de Desarrollo Económico y los Comités Regionales de Promoción Económica del Estado de Sinaloa.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Establecer una relación constante con empresas productivas locales, nacionales y extranjeras establecidas o que puedan establecerse en </w:t>
      </w:r>
      <w:r w:rsidR="008F15F4" w:rsidRPr="002262F0">
        <w:rPr>
          <w:rFonts w:ascii="Arial" w:hAnsi="Arial"/>
        </w:rPr>
        <w:t>el Estado</w:t>
      </w:r>
      <w:r w:rsidRPr="002262F0">
        <w:rPr>
          <w:rFonts w:ascii="Arial" w:hAnsi="Arial"/>
        </w:rPr>
        <w:t xml:space="preserve"> otorgándoles el apoyo necesario, aprovechando para ello el soporte de nuestras leyes y organizaciones civiles y gubernamentales.</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Definir e instrumentar los medios necesarios para generar y difundir en Sinaloa una cultura empresarial competitiva.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Definir e instrumentar los medios necesarios para mejorar la imagen de Sinaloa.</w:t>
      </w:r>
    </w:p>
    <w:p w:rsidR="00685338" w:rsidRPr="002262F0" w:rsidRDefault="00685338" w:rsidP="00685338">
      <w:pPr>
        <w:ind w:left="567"/>
        <w:jc w:val="both"/>
        <w:rPr>
          <w:rFonts w:ascii="Arial" w:hAnsi="Arial"/>
        </w:rPr>
      </w:pPr>
    </w:p>
    <w:p w:rsidR="00685338" w:rsidRPr="002262F0" w:rsidRDefault="00685338" w:rsidP="00685338">
      <w:pPr>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El Consejo para el desarrollo Económico de Sinaloa tiene asignadas las siguientes funciones:</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Coordinar y vincular como organismo técnico y de consulta, los esfuerzos de los organismos públicos, privados y sociales del Estado, relativos al desarrollo y promoción económica de la entidad.</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Definir la visión y la planeación estratégica de Sinaloa, orientadas al desarrollo económico de largo plazo en el Estado;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Proponer esquemas y estrategias de desarrollo y promoción económica para el corto y largo plazo. </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Diseñar y proponer las estructuras y organizaciones que se consideren necesarias para el logro de sus objetivos; </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Discutir, aprobar, evaluar y dar seguimiento a la implementación de las estrategias y políticas de desarrollo económico planteadas por CODESIN y/o por el Gobierno del Estado para lograr su institucionalización;</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Evaluar los planes y programas de fomento económico y sectoriales propuestos por los diferentes organismos;</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Definir las directrices y criterios de las diferentes Comisiones de Trabajo, </w:t>
      </w:r>
      <w:smartTag w:uri="urn:schemas-microsoft-com:office:smarttags" w:element="PersonName">
        <w:smartTagPr>
          <w:attr w:name="ProductID" w:val="la Oficina Estatal"/>
        </w:smartTagPr>
        <w:r w:rsidRPr="002262F0">
          <w:rPr>
            <w:rFonts w:ascii="Arial" w:hAnsi="Arial"/>
          </w:rPr>
          <w:t>la Oficina Estatal</w:t>
        </w:r>
      </w:smartTag>
      <w:r w:rsidRPr="002262F0">
        <w:rPr>
          <w:rFonts w:ascii="Arial" w:hAnsi="Arial"/>
        </w:rPr>
        <w:t xml:space="preserve">, los Comités Regionales y </w:t>
      </w:r>
      <w:smartTag w:uri="urn:schemas-microsoft-com:office:smarttags" w:element="PersonName">
        <w:smartTagPr>
          <w:attr w:name="ProductID" w:val="la Unidad"/>
        </w:smartTagPr>
        <w:r w:rsidRPr="002262F0">
          <w:rPr>
            <w:rFonts w:ascii="Arial" w:hAnsi="Arial"/>
          </w:rPr>
          <w:t>la Unidad</w:t>
        </w:r>
      </w:smartTag>
      <w:r w:rsidRPr="002262F0">
        <w:rPr>
          <w:rFonts w:ascii="Arial" w:hAnsi="Arial"/>
        </w:rPr>
        <w:t xml:space="preserve"> de Promoción de Inversiones.</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Desarrollar e implementar un programa de difusión sobre el quehacer del CODESIN y la imagen de Sinaloa.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Aprobar los Reglamentos, Manuales de Operación y planes anuales de trabajo, de las siguientes instituciones, así como evaluar su desempeño: </w:t>
      </w:r>
    </w:p>
    <w:p w:rsidR="00685338" w:rsidRPr="002262F0" w:rsidRDefault="00685338" w:rsidP="00685338">
      <w:pPr>
        <w:numPr>
          <w:ilvl w:val="1"/>
          <w:numId w:val="8"/>
        </w:numPr>
        <w:spacing w:after="0" w:line="240" w:lineRule="auto"/>
        <w:jc w:val="both"/>
        <w:rPr>
          <w:rFonts w:ascii="Arial" w:hAnsi="Arial"/>
        </w:rPr>
      </w:pPr>
      <w:r>
        <w:rPr>
          <w:rFonts w:ascii="Arial" w:hAnsi="Arial"/>
        </w:rPr>
        <w:t>a) Centro para la Inversión y el Comercio (CIT Sinaloa)</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b) Oficina Estatal.</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c) Comités Regionales de Promoción Económica.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Coadyuvar con </w:t>
      </w:r>
      <w:smartTag w:uri="urn:schemas-microsoft-com:office:smarttags" w:element="PersonName">
        <w:smartTagPr>
          <w:attr w:name="ProductID" w:val="la Secretar￭a"/>
        </w:smartTagPr>
        <w:r w:rsidRPr="002262F0">
          <w:rPr>
            <w:rFonts w:ascii="Arial" w:hAnsi="Arial"/>
          </w:rPr>
          <w:t>la Secretaría</w:t>
        </w:r>
      </w:smartTag>
      <w:r w:rsidRPr="002262F0">
        <w:rPr>
          <w:rFonts w:ascii="Arial" w:hAnsi="Arial"/>
        </w:rPr>
        <w:t xml:space="preserve"> de Desarrollo Económico en la elaboración de los planes de trabajo, anuales y sexenales, así como darles seguimiento y evaluar su cumplimiento.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Desarrollar e implementar sistemas de información que permitan medir el desarrollo económico y la competitividad en nuestro Estado.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Impulsar el desarrollo de la atractividad de las diferentes regiones de Sinaloa, así como un marco jurídico e institucional desregulatorio necesarios para un desarrollo económico sustentable.</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Promover todas las acciones necesarias para impulsar o potenciar el crecimiento y/o desarrollo de las empresas y empresarios de la entidad.</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Analizar el impacto y definir la política de estímulos a la inversión en el Estado de Sinaloa.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Desarrollar y aprobar criterios sobre los temas de impacto que incidan en el desarrollo económico.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Recibir el presupuesto que el Gobierno del Estado le asigne cada año, administrarlo con eficiencia y dar cumplida cuenta de su utilización ante las instancias que </w:t>
      </w:r>
      <w:smartTag w:uri="urn:schemas-microsoft-com:office:smarttags" w:element="PersonName">
        <w:smartTagPr>
          <w:attr w:name="ProductID" w:val="la Ley"/>
        </w:smartTagPr>
        <w:r w:rsidRPr="002262F0">
          <w:rPr>
            <w:rFonts w:ascii="Arial" w:hAnsi="Arial"/>
          </w:rPr>
          <w:t>la Ley</w:t>
        </w:r>
      </w:smartTag>
      <w:r w:rsidRPr="002262F0">
        <w:rPr>
          <w:rFonts w:ascii="Arial" w:hAnsi="Arial"/>
        </w:rPr>
        <w:t xml:space="preserve"> de Fomento a </w:t>
      </w:r>
      <w:smartTag w:uri="urn:schemas-microsoft-com:office:smarttags" w:element="PersonName">
        <w:smartTagPr>
          <w:attr w:name="ProductID" w:val="la Inversi￳n"/>
        </w:smartTagPr>
        <w:r w:rsidRPr="002262F0">
          <w:rPr>
            <w:rFonts w:ascii="Arial" w:hAnsi="Arial"/>
          </w:rPr>
          <w:t>la Inversión</w:t>
        </w:r>
      </w:smartTag>
      <w:r w:rsidRPr="002262F0">
        <w:rPr>
          <w:rFonts w:ascii="Arial" w:hAnsi="Arial"/>
        </w:rPr>
        <w:t xml:space="preserve"> para el Desarrollo Económico de Sinaloa prevé.</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Discernir y en su caso aprobar la renovación, elección, admisión y exclusión de los miembros de los Comités Regionales de Promoción Económica.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 xml:space="preserve">Las demás que le confieran las leyes, reglamentos y demás disposiciones normativas. </w:t>
      </w:r>
    </w:p>
    <w:p w:rsidR="00685338" w:rsidRPr="002262F0" w:rsidRDefault="00685338" w:rsidP="00685338">
      <w:pPr>
        <w:jc w:val="both"/>
        <w:rPr>
          <w:rFonts w:ascii="Arial" w:hAnsi="Arial"/>
        </w:rPr>
      </w:pPr>
    </w:p>
    <w:p w:rsidR="00685338" w:rsidRPr="002262F0" w:rsidRDefault="00685338" w:rsidP="00685338">
      <w:pPr>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El Consejo para el desarrollo Económico de Sinaloa como organismo descentralizado y de consulta para el despacho de los asuntos de su competencia y en el ejercicio de sus atribuciones que le corresponde cuenta con la siguiente estructura:</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Un Órgano Máximo de autoridad que será El Pleno;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Una Dirección General;</w:t>
      </w:r>
    </w:p>
    <w:p w:rsidR="00685338" w:rsidRPr="002262F0" w:rsidRDefault="00685338" w:rsidP="00685338">
      <w:pPr>
        <w:numPr>
          <w:ilvl w:val="0"/>
          <w:numId w:val="8"/>
        </w:numPr>
        <w:spacing w:after="0" w:line="240" w:lineRule="auto"/>
        <w:jc w:val="both"/>
        <w:rPr>
          <w:rFonts w:ascii="Arial" w:hAnsi="Arial"/>
        </w:rPr>
      </w:pPr>
      <w:r>
        <w:rPr>
          <w:rFonts w:ascii="Arial" w:hAnsi="Arial"/>
        </w:rPr>
        <w:t>Un Centro para la Inversión y el Comercio (CIT Sinaloa)</w:t>
      </w:r>
      <w:r w:rsidRPr="002262F0">
        <w:rPr>
          <w:rFonts w:ascii="Arial" w:hAnsi="Arial"/>
        </w:rPr>
        <w:t>;</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Cuatro Comités Regionales de Promoción Económica:</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 xml:space="preserve">1. Comité Regional de Promoción Económica Zona Norte, cuyo ámbito de operación comprenderá los municipios de: Ahome, El Fuerte y Choix; con domicilio en </w:t>
      </w:r>
      <w:smartTag w:uri="urn:schemas-microsoft-com:office:smarttags" w:element="PersonName">
        <w:smartTagPr>
          <w:attr w:name="ProductID" w:val="la Ciudad"/>
        </w:smartTagPr>
        <w:r w:rsidRPr="002262F0">
          <w:rPr>
            <w:rFonts w:ascii="Arial" w:hAnsi="Arial"/>
          </w:rPr>
          <w:t>la Ciudad</w:t>
        </w:r>
      </w:smartTag>
      <w:r w:rsidRPr="002262F0">
        <w:rPr>
          <w:rFonts w:ascii="Arial" w:hAnsi="Arial"/>
        </w:rPr>
        <w:t xml:space="preserve"> de Los Mochis.</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 xml:space="preserve">2. Comité Regional de Promoción Económica Zona Centro-Norte, cuyo ámbito de operación comprenderá los municipios de: Guasave, Sinaloa, Angostura Mocorito y Salvador Alvarado, con domicilio en </w:t>
      </w:r>
      <w:smartTag w:uri="urn:schemas-microsoft-com:office:smarttags" w:element="PersonName">
        <w:smartTagPr>
          <w:attr w:name="ProductID" w:val="la Ciudad"/>
        </w:smartTagPr>
        <w:r w:rsidRPr="002262F0">
          <w:rPr>
            <w:rFonts w:ascii="Arial" w:hAnsi="Arial"/>
          </w:rPr>
          <w:t>la Ciudad</w:t>
        </w:r>
      </w:smartTag>
      <w:r w:rsidRPr="002262F0">
        <w:rPr>
          <w:rFonts w:ascii="Arial" w:hAnsi="Arial"/>
        </w:rPr>
        <w:t xml:space="preserve"> de Guasave.</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 xml:space="preserve">3. Comité Regional de Promoción Económica Zona Centro, cuyo ámbito de operación comprenderá los municipios de: Culiacán, Badiraguato, Cosalá, Navolato y Elota, con domicilio en </w:t>
      </w:r>
      <w:smartTag w:uri="urn:schemas-microsoft-com:office:smarttags" w:element="PersonName">
        <w:smartTagPr>
          <w:attr w:name="ProductID" w:val="la Ciudad"/>
        </w:smartTagPr>
        <w:r w:rsidRPr="002262F0">
          <w:rPr>
            <w:rFonts w:ascii="Arial" w:hAnsi="Arial"/>
          </w:rPr>
          <w:t>la Ciudad</w:t>
        </w:r>
      </w:smartTag>
      <w:r w:rsidRPr="002262F0">
        <w:rPr>
          <w:rFonts w:ascii="Arial" w:hAnsi="Arial"/>
        </w:rPr>
        <w:t xml:space="preserve"> de Culiacán Rosales.</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4. Comité Regional de Promoción Económica Zona Sur, cuyo ámbito de operación comprenderá los municipios de Mazatlán, San Ignacio, Concordia, Rosario y Escuinapa, con domicilio en la ciudad de Mazatlán.</w:t>
      </w:r>
    </w:p>
    <w:p w:rsidR="00685338" w:rsidRPr="002262F0" w:rsidRDefault="00685338" w:rsidP="00685338">
      <w:pPr>
        <w:ind w:left="1287"/>
        <w:jc w:val="both"/>
        <w:rPr>
          <w:rFonts w:ascii="Arial" w:hAnsi="Arial"/>
        </w:rPr>
      </w:pP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Con las Unidades de Asesoría y Comisiones de Trabajo necesarias.</w:t>
      </w:r>
    </w:p>
    <w:p w:rsidR="005E4BEC" w:rsidRDefault="005E4BEC" w:rsidP="00685338">
      <w:pPr>
        <w:ind w:left="567"/>
        <w:jc w:val="both"/>
        <w:rPr>
          <w:rFonts w:ascii="Arial" w:hAnsi="Arial"/>
        </w:rPr>
      </w:pPr>
    </w:p>
    <w:p w:rsidR="004E02D7" w:rsidRPr="002262F0" w:rsidRDefault="004E02D7" w:rsidP="00685338">
      <w:pPr>
        <w:ind w:left="567"/>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 xml:space="preserve">El Consejo para el Desarrollo Económico de Sinaloa para el despacho de los asuntos de su competencia y en el ejercicio de las atribuciones que le </w:t>
      </w:r>
      <w:r w:rsidR="002406CF" w:rsidRPr="002262F0">
        <w:rPr>
          <w:rFonts w:ascii="Arial" w:hAnsi="Arial"/>
        </w:rPr>
        <w:t>corresponden, está</w:t>
      </w:r>
      <w:r w:rsidRPr="002262F0">
        <w:rPr>
          <w:rFonts w:ascii="Arial" w:hAnsi="Arial"/>
        </w:rPr>
        <w:t xml:space="preserve"> regido por un órgano colegiado que es la máxima autoridad, denominado Pleno y que se integra de la siguiente manera</w:t>
      </w:r>
      <w:r w:rsidRPr="002262F0">
        <w:rPr>
          <w:sz w:val="21"/>
          <w:szCs w:val="21"/>
        </w:rPr>
        <w:t>:</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Un Presidente, que será el Gobernador Constitucional del Estado;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Un Presidente Ejecutivo, que será nombrado de entre sus miembros empresarios por mayoría de votos;</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Un vocal Ejecutivo, que será el Secretario de Desarrollo Económico del Gobierno del Estado;</w:t>
      </w:r>
    </w:p>
    <w:p w:rsidR="00685338" w:rsidRPr="002262F0" w:rsidRDefault="00685338" w:rsidP="00685338">
      <w:pPr>
        <w:numPr>
          <w:ilvl w:val="0"/>
          <w:numId w:val="8"/>
        </w:numPr>
        <w:spacing w:after="0" w:line="240" w:lineRule="auto"/>
        <w:jc w:val="both"/>
        <w:rPr>
          <w:rFonts w:ascii="Arial" w:hAnsi="Arial"/>
        </w:rPr>
      </w:pPr>
      <w:r w:rsidRPr="002262F0">
        <w:rPr>
          <w:rFonts w:ascii="Arial" w:hAnsi="Arial"/>
        </w:rPr>
        <w:t>Doce Consejeros, que serán designados de la siguiente manera:</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Cuatro Consejeros del Gobierno del Estado designados por el Gobernador Constitucional del Estado; entre los cuales uno será el Secretario de Desarrollo Económico.</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Cuatro Consejeros empresariales que serán los Presidentes de los Comités Regionales de Promoción Económica del Estado de Sinaloa; y,</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Cuatro Consejeros empresarios nombrados por el Consejo Sinaloense de Hombres de Negocios, A.C.</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Por cada Consejero Propietario se designará un suplente.</w:t>
      </w:r>
    </w:p>
    <w:p w:rsidR="005E4BEC" w:rsidRDefault="005E4BEC" w:rsidP="00685338">
      <w:pPr>
        <w:numPr>
          <w:ilvl w:val="12"/>
          <w:numId w:val="0"/>
        </w:numPr>
        <w:ind w:left="1287" w:hanging="567"/>
        <w:jc w:val="both"/>
        <w:rPr>
          <w:rFonts w:ascii="Arial" w:hAnsi="Arial"/>
        </w:rPr>
      </w:pPr>
    </w:p>
    <w:p w:rsidR="004E02D7" w:rsidRDefault="004E02D7" w:rsidP="00685338">
      <w:pPr>
        <w:numPr>
          <w:ilvl w:val="12"/>
          <w:numId w:val="0"/>
        </w:numPr>
        <w:ind w:left="1287" w:hanging="567"/>
        <w:jc w:val="both"/>
        <w:rPr>
          <w:rFonts w:ascii="Arial" w:hAnsi="Arial"/>
        </w:rPr>
      </w:pPr>
    </w:p>
    <w:p w:rsidR="004E02D7" w:rsidRPr="002262F0" w:rsidRDefault="004E02D7" w:rsidP="00685338">
      <w:pPr>
        <w:numPr>
          <w:ilvl w:val="12"/>
          <w:numId w:val="0"/>
        </w:numPr>
        <w:ind w:left="1287" w:hanging="567"/>
        <w:jc w:val="both"/>
        <w:rPr>
          <w:rFonts w:ascii="Arial" w:hAnsi="Arial"/>
        </w:rPr>
      </w:pPr>
    </w:p>
    <w:p w:rsidR="00685338" w:rsidRPr="002262F0" w:rsidRDefault="00685338" w:rsidP="00685338">
      <w:pPr>
        <w:numPr>
          <w:ilvl w:val="0"/>
          <w:numId w:val="1"/>
        </w:numPr>
        <w:spacing w:after="0" w:line="240" w:lineRule="auto"/>
        <w:jc w:val="both"/>
        <w:rPr>
          <w:rFonts w:ascii="Arial" w:hAnsi="Arial"/>
        </w:rPr>
      </w:pPr>
      <w:r w:rsidRPr="002262F0">
        <w:rPr>
          <w:rFonts w:ascii="Arial" w:hAnsi="Arial"/>
        </w:rPr>
        <w:t>El Organismo no persigue fines de lucro, en virtud de su objeto social.</w:t>
      </w:r>
    </w:p>
    <w:p w:rsidR="00685338" w:rsidRPr="002262F0" w:rsidRDefault="00685338" w:rsidP="00685338">
      <w:pPr>
        <w:jc w:val="both"/>
        <w:rPr>
          <w:rFonts w:ascii="Arial" w:hAnsi="Arial"/>
        </w:rPr>
      </w:pPr>
    </w:p>
    <w:p w:rsidR="00685338" w:rsidRDefault="00685338" w:rsidP="00685338">
      <w:pPr>
        <w:jc w:val="both"/>
        <w:rPr>
          <w:rFonts w:ascii="Arial" w:hAnsi="Arial"/>
        </w:rPr>
      </w:pPr>
    </w:p>
    <w:p w:rsidR="004E02D7" w:rsidRPr="002262F0" w:rsidRDefault="004E02D7" w:rsidP="00685338">
      <w:pPr>
        <w:jc w:val="both"/>
        <w:rPr>
          <w:rFonts w:ascii="Arial" w:hAnsi="Arial"/>
        </w:rPr>
      </w:pPr>
    </w:p>
    <w:tbl>
      <w:tblPr>
        <w:tblW w:w="0" w:type="auto"/>
        <w:tblInd w:w="-213" w:type="dxa"/>
        <w:tblLayout w:type="fixed"/>
        <w:tblCellMar>
          <w:left w:w="71" w:type="dxa"/>
          <w:right w:w="71" w:type="dxa"/>
        </w:tblCellMar>
        <w:tblLook w:val="0000" w:firstRow="0" w:lastRow="0" w:firstColumn="0" w:lastColumn="0" w:noHBand="0" w:noVBand="0"/>
      </w:tblPr>
      <w:tblGrid>
        <w:gridCol w:w="1418"/>
        <w:gridCol w:w="4402"/>
      </w:tblGrid>
      <w:tr w:rsidR="00685338" w:rsidRPr="002262F0" w:rsidTr="006A0C92">
        <w:tc>
          <w:tcPr>
            <w:tcW w:w="1418" w:type="dxa"/>
          </w:tcPr>
          <w:p w:rsidR="00685338" w:rsidRPr="002262F0" w:rsidRDefault="00685338" w:rsidP="006A0C92">
            <w:pPr>
              <w:jc w:val="both"/>
              <w:rPr>
                <w:rFonts w:ascii="Arial" w:hAnsi="Arial"/>
                <w:b/>
              </w:rPr>
            </w:pPr>
            <w:r w:rsidRPr="002262F0">
              <w:rPr>
                <w:rFonts w:ascii="Arial" w:hAnsi="Arial"/>
                <w:b/>
              </w:rPr>
              <w:t>Nota 2.-)</w:t>
            </w:r>
          </w:p>
        </w:tc>
        <w:tc>
          <w:tcPr>
            <w:tcW w:w="4402" w:type="dxa"/>
          </w:tcPr>
          <w:p w:rsidR="00685338" w:rsidRPr="002262F0" w:rsidRDefault="00685338" w:rsidP="006A0C92">
            <w:pPr>
              <w:jc w:val="both"/>
              <w:rPr>
                <w:rFonts w:ascii="Arial" w:hAnsi="Arial"/>
                <w:b/>
              </w:rPr>
            </w:pPr>
            <w:r w:rsidRPr="002262F0">
              <w:rPr>
                <w:rFonts w:ascii="Arial" w:hAnsi="Arial"/>
                <w:b/>
                <w:u w:val="single"/>
              </w:rPr>
              <w:t>Principales políticas contables</w:t>
            </w:r>
          </w:p>
        </w:tc>
      </w:tr>
    </w:tbl>
    <w:p w:rsidR="00685338" w:rsidRPr="002262F0" w:rsidRDefault="00685338" w:rsidP="00685338">
      <w:pPr>
        <w:jc w:val="both"/>
        <w:rPr>
          <w:rFonts w:ascii="Arial" w:hAnsi="Arial"/>
        </w:rPr>
      </w:pPr>
    </w:p>
    <w:p w:rsidR="00685338" w:rsidRPr="002262F0" w:rsidRDefault="00685338" w:rsidP="00685338">
      <w:pPr>
        <w:jc w:val="both"/>
        <w:rPr>
          <w:rFonts w:ascii="Arial" w:hAnsi="Arial"/>
        </w:rPr>
      </w:pPr>
      <w:r w:rsidRPr="00BA608C">
        <w:rPr>
          <w:rFonts w:ascii="Arial" w:hAnsi="Arial"/>
        </w:rPr>
        <w:t>a-)</w:t>
      </w:r>
      <w:r w:rsidRPr="002262F0">
        <w:rPr>
          <w:rFonts w:ascii="Arial" w:hAnsi="Arial"/>
          <w:b/>
        </w:rPr>
        <w:t xml:space="preserve"> Normatividad contable:</w:t>
      </w:r>
    </w:p>
    <w:p w:rsidR="00685338" w:rsidRDefault="00685338" w:rsidP="00685338">
      <w:pPr>
        <w:numPr>
          <w:ilvl w:val="12"/>
          <w:numId w:val="0"/>
        </w:numPr>
        <w:ind w:left="283"/>
        <w:jc w:val="both"/>
        <w:rPr>
          <w:rFonts w:ascii="Arial" w:hAnsi="Arial"/>
        </w:rPr>
      </w:pPr>
      <w:r w:rsidRPr="002262F0">
        <w:rPr>
          <w:rFonts w:ascii="Arial" w:hAnsi="Arial"/>
        </w:rPr>
        <w:t>CODESIN prepara su contabilidad con base en principios que rigen en organismos gubernamentales</w:t>
      </w:r>
      <w:r>
        <w:rPr>
          <w:rFonts w:ascii="Arial" w:hAnsi="Arial"/>
        </w:rPr>
        <w:t xml:space="preserve">, la Ley General de Contabilidad </w:t>
      </w:r>
      <w:r w:rsidR="00276170">
        <w:rPr>
          <w:rFonts w:ascii="Arial" w:hAnsi="Arial"/>
        </w:rPr>
        <w:t>y los</w:t>
      </w:r>
      <w:r>
        <w:rPr>
          <w:rFonts w:ascii="Arial" w:hAnsi="Arial"/>
        </w:rPr>
        <w:t xml:space="preserve"> lineamientos establecidos por el consejo Nacional de Armonización Contable.</w:t>
      </w:r>
    </w:p>
    <w:p w:rsidR="00685338" w:rsidRPr="002262F0" w:rsidRDefault="00685338" w:rsidP="00685338">
      <w:pPr>
        <w:numPr>
          <w:ilvl w:val="12"/>
          <w:numId w:val="0"/>
        </w:numPr>
        <w:ind w:left="283"/>
        <w:jc w:val="both"/>
        <w:rPr>
          <w:rFonts w:ascii="Arial" w:hAnsi="Arial"/>
        </w:rPr>
      </w:pPr>
      <w:r w:rsidRPr="002262F0">
        <w:rPr>
          <w:rFonts w:ascii="Arial" w:hAnsi="Arial" w:cs="Arial"/>
        </w:rPr>
        <w:t xml:space="preserve">En virtud de sus propias políticas contables, no se reconocen los efectos de la inflación y las obligaciones laborales establecidos en las </w:t>
      </w:r>
      <w:r>
        <w:rPr>
          <w:rFonts w:ascii="Arial" w:hAnsi="Arial" w:cs="Arial"/>
        </w:rPr>
        <w:t>N</w:t>
      </w:r>
      <w:r w:rsidRPr="002262F0">
        <w:rPr>
          <w:rFonts w:ascii="Arial" w:hAnsi="Arial" w:cs="Arial"/>
        </w:rPr>
        <w:t xml:space="preserve">ormas de </w:t>
      </w:r>
      <w:r>
        <w:rPr>
          <w:rFonts w:ascii="Arial" w:hAnsi="Arial" w:cs="Arial"/>
        </w:rPr>
        <w:t>I</w:t>
      </w:r>
      <w:r w:rsidRPr="002262F0">
        <w:rPr>
          <w:rFonts w:ascii="Arial" w:hAnsi="Arial" w:cs="Arial"/>
        </w:rPr>
        <w:t xml:space="preserve">nformación </w:t>
      </w:r>
      <w:r>
        <w:rPr>
          <w:rFonts w:ascii="Arial" w:hAnsi="Arial" w:cs="Arial"/>
        </w:rPr>
        <w:t>F</w:t>
      </w:r>
      <w:r w:rsidRPr="002262F0">
        <w:rPr>
          <w:rFonts w:ascii="Arial" w:hAnsi="Arial" w:cs="Arial"/>
        </w:rPr>
        <w:t xml:space="preserve">inanciera y emitidas por el Instituto Mexicano para la </w:t>
      </w:r>
      <w:r>
        <w:rPr>
          <w:rFonts w:ascii="Arial" w:hAnsi="Arial" w:cs="Arial"/>
        </w:rPr>
        <w:t>I</w:t>
      </w:r>
      <w:r w:rsidRPr="002262F0">
        <w:rPr>
          <w:rFonts w:ascii="Arial" w:hAnsi="Arial" w:cs="Arial"/>
        </w:rPr>
        <w:t xml:space="preserve">nvestigación y </w:t>
      </w:r>
      <w:r>
        <w:rPr>
          <w:rFonts w:ascii="Arial" w:hAnsi="Arial" w:cs="Arial"/>
        </w:rPr>
        <w:t>D</w:t>
      </w:r>
      <w:r w:rsidRPr="002262F0">
        <w:rPr>
          <w:rFonts w:ascii="Arial" w:hAnsi="Arial" w:cs="Arial"/>
        </w:rPr>
        <w:t xml:space="preserve">esarrollo de las </w:t>
      </w:r>
      <w:r>
        <w:rPr>
          <w:rFonts w:ascii="Arial" w:hAnsi="Arial" w:cs="Arial"/>
        </w:rPr>
        <w:t>N</w:t>
      </w:r>
      <w:r w:rsidRPr="002262F0">
        <w:rPr>
          <w:rFonts w:ascii="Arial" w:hAnsi="Arial" w:cs="Arial"/>
        </w:rPr>
        <w:t xml:space="preserve">ormas de </w:t>
      </w:r>
      <w:r>
        <w:rPr>
          <w:rFonts w:ascii="Arial" w:hAnsi="Arial" w:cs="Arial"/>
        </w:rPr>
        <w:t>I</w:t>
      </w:r>
      <w:r w:rsidRPr="002262F0">
        <w:rPr>
          <w:rFonts w:ascii="Arial" w:hAnsi="Arial" w:cs="Arial"/>
        </w:rPr>
        <w:t xml:space="preserve">nformación </w:t>
      </w:r>
      <w:r>
        <w:rPr>
          <w:rFonts w:ascii="Arial" w:hAnsi="Arial" w:cs="Arial"/>
        </w:rPr>
        <w:t>F</w:t>
      </w:r>
      <w:r w:rsidRPr="002262F0">
        <w:rPr>
          <w:rFonts w:ascii="Arial" w:hAnsi="Arial" w:cs="Arial"/>
        </w:rPr>
        <w:t xml:space="preserve">inanciera A.C. </w:t>
      </w:r>
    </w:p>
    <w:p w:rsidR="004E02D7" w:rsidRDefault="004E02D7" w:rsidP="008F15F4">
      <w:pPr>
        <w:ind w:firstLine="283"/>
        <w:jc w:val="both"/>
        <w:rPr>
          <w:rFonts w:ascii="Arial" w:hAnsi="Arial"/>
          <w:b/>
        </w:rPr>
      </w:pPr>
    </w:p>
    <w:p w:rsidR="00685338" w:rsidRPr="002262F0" w:rsidRDefault="00685338" w:rsidP="008F15F4">
      <w:pPr>
        <w:ind w:firstLine="283"/>
        <w:jc w:val="both"/>
        <w:rPr>
          <w:rFonts w:ascii="Arial" w:hAnsi="Arial"/>
          <w:b/>
        </w:rPr>
      </w:pPr>
      <w:r w:rsidRPr="002262F0">
        <w:rPr>
          <w:rFonts w:ascii="Arial" w:hAnsi="Arial"/>
          <w:b/>
        </w:rPr>
        <w:t>Efectivo en caja, bancos e inversiones:</w:t>
      </w:r>
    </w:p>
    <w:p w:rsidR="00685338" w:rsidRDefault="00685338" w:rsidP="00685338">
      <w:pPr>
        <w:ind w:left="283"/>
        <w:jc w:val="both"/>
        <w:rPr>
          <w:rFonts w:ascii="Arial" w:hAnsi="Arial"/>
        </w:rPr>
      </w:pPr>
      <w:r w:rsidRPr="002262F0">
        <w:rPr>
          <w:rFonts w:ascii="Arial" w:hAnsi="Arial"/>
        </w:rPr>
        <w:t>Principalmente es el saldo de las cuentas de cheques y fideicomisos por el flujo normal de las operaciones y el presupuesto en proceso de ejercicio. Las cantidades recibidas por subsidio en su lapso de utilización se aprovechan en instrumentos que generan intereses</w:t>
      </w:r>
      <w:r>
        <w:rPr>
          <w:rFonts w:ascii="Arial" w:hAnsi="Arial"/>
        </w:rPr>
        <w:t>.</w:t>
      </w:r>
    </w:p>
    <w:p w:rsidR="00685338" w:rsidRPr="002262F0" w:rsidRDefault="00434120" w:rsidP="00685338">
      <w:pPr>
        <w:numPr>
          <w:ilvl w:val="12"/>
          <w:numId w:val="0"/>
        </w:numPr>
        <w:ind w:left="283"/>
        <w:jc w:val="both"/>
        <w:rPr>
          <w:rFonts w:ascii="Arial" w:hAnsi="Arial"/>
        </w:rPr>
      </w:pPr>
      <w:r w:rsidRPr="002262F0">
        <w:rPr>
          <w:rFonts w:ascii="Arial" w:hAnsi="Arial"/>
          <w:b/>
        </w:rPr>
        <w:t>Fideicomiso</w:t>
      </w:r>
      <w:r w:rsidRPr="002262F0">
        <w:rPr>
          <w:rFonts w:ascii="Arial" w:hAnsi="Arial"/>
        </w:rPr>
        <w:t>. -</w:t>
      </w:r>
      <w:r w:rsidR="00685338" w:rsidRPr="002262F0">
        <w:rPr>
          <w:rFonts w:ascii="Arial" w:hAnsi="Arial"/>
        </w:rPr>
        <w:t xml:space="preserve"> En esta cuenta se reciben las aportaciones por parte del Gobierno del Estado, de acuerdo al presupuesto autorizado se realizan los traspasos a las cuentas de cheques de gastos operativos y a los diferentes fondos autorizados. El saldo al cierre del ejercicio es por </w:t>
      </w:r>
      <w:r w:rsidR="00685338">
        <w:rPr>
          <w:rFonts w:ascii="Arial" w:hAnsi="Arial"/>
        </w:rPr>
        <w:t xml:space="preserve">el presupuesto pendiente de traspasar a las áreas operativas para su aplicación, compromisos de impuestos por pagarse a inicios del próximo año y </w:t>
      </w:r>
      <w:r w:rsidR="00685338" w:rsidRPr="002262F0">
        <w:rPr>
          <w:rFonts w:ascii="Arial" w:hAnsi="Arial"/>
        </w:rPr>
        <w:t>los rendimientos generados por su aprovechamiento en instrumentos que generan intereses.</w:t>
      </w:r>
    </w:p>
    <w:p w:rsidR="004E02D7" w:rsidRDefault="004E02D7" w:rsidP="00685338">
      <w:pPr>
        <w:jc w:val="both"/>
        <w:rPr>
          <w:rFonts w:ascii="Arial" w:hAnsi="Arial"/>
          <w:b/>
        </w:rPr>
      </w:pPr>
    </w:p>
    <w:p w:rsidR="00710E66" w:rsidRDefault="008F15F4" w:rsidP="004E02D7">
      <w:pPr>
        <w:jc w:val="both"/>
        <w:rPr>
          <w:rFonts w:ascii="Arial" w:hAnsi="Arial"/>
        </w:rPr>
      </w:pPr>
      <w:r>
        <w:rPr>
          <w:rFonts w:ascii="Arial" w:hAnsi="Arial"/>
          <w:b/>
        </w:rPr>
        <w:t xml:space="preserve">  </w:t>
      </w:r>
      <w:r w:rsidR="00685338" w:rsidRPr="002262F0">
        <w:rPr>
          <w:rFonts w:ascii="Arial" w:hAnsi="Arial"/>
          <w:b/>
        </w:rPr>
        <w:t>Otros activos no realizables de inmediato</w:t>
      </w:r>
      <w:r w:rsidR="00685338" w:rsidRPr="002262F0">
        <w:rPr>
          <w:rFonts w:ascii="Arial" w:hAnsi="Arial"/>
        </w:rPr>
        <w:t xml:space="preserve">:  </w:t>
      </w:r>
    </w:p>
    <w:p w:rsidR="00685338" w:rsidRPr="002262F0" w:rsidRDefault="00685338" w:rsidP="00685338">
      <w:pPr>
        <w:numPr>
          <w:ilvl w:val="0"/>
          <w:numId w:val="20"/>
        </w:numPr>
        <w:spacing w:after="0" w:line="240" w:lineRule="auto"/>
        <w:jc w:val="both"/>
        <w:rPr>
          <w:rFonts w:ascii="Arial" w:hAnsi="Arial"/>
        </w:rPr>
      </w:pPr>
      <w:r w:rsidRPr="002262F0">
        <w:rPr>
          <w:rFonts w:ascii="Arial" w:hAnsi="Arial"/>
        </w:rPr>
        <w:t>Deudores diversos -</w:t>
      </w:r>
    </w:p>
    <w:p w:rsidR="00685338" w:rsidRPr="002262F0" w:rsidRDefault="00685338" w:rsidP="00685338">
      <w:pPr>
        <w:numPr>
          <w:ilvl w:val="12"/>
          <w:numId w:val="0"/>
        </w:numPr>
        <w:ind w:left="283"/>
        <w:jc w:val="both"/>
        <w:rPr>
          <w:rFonts w:ascii="Arial" w:hAnsi="Arial"/>
        </w:rPr>
      </w:pPr>
    </w:p>
    <w:p w:rsidR="00685338" w:rsidRDefault="00685338" w:rsidP="00685338">
      <w:pPr>
        <w:numPr>
          <w:ilvl w:val="12"/>
          <w:numId w:val="0"/>
        </w:numPr>
        <w:ind w:left="283"/>
        <w:jc w:val="both"/>
        <w:rPr>
          <w:rFonts w:ascii="Arial" w:hAnsi="Arial"/>
        </w:rPr>
      </w:pPr>
      <w:r w:rsidRPr="002262F0">
        <w:rPr>
          <w:rFonts w:ascii="Arial" w:hAnsi="Arial"/>
        </w:rPr>
        <w:t xml:space="preserve">En esta cuenta se </w:t>
      </w:r>
      <w:r w:rsidR="00710E66" w:rsidRPr="002262F0">
        <w:rPr>
          <w:rFonts w:ascii="Arial" w:hAnsi="Arial"/>
        </w:rPr>
        <w:t>registran importes</w:t>
      </w:r>
      <w:r w:rsidRPr="002262F0">
        <w:rPr>
          <w:rFonts w:ascii="Arial" w:hAnsi="Arial"/>
        </w:rPr>
        <w:t xml:space="preserve"> por gastos a comprobar, préstamos menores a funcionarios y pequeños anticipos por gastos, el organismo tiene la política que al cerrar el ejercicio esta cuen</w:t>
      </w:r>
      <w:r w:rsidR="003F549C">
        <w:rPr>
          <w:rFonts w:ascii="Arial" w:hAnsi="Arial"/>
        </w:rPr>
        <w:t>ta debe quedar con saldo cero</w:t>
      </w:r>
      <w:r w:rsidRPr="002262F0">
        <w:rPr>
          <w:rFonts w:ascii="Arial" w:hAnsi="Arial"/>
        </w:rPr>
        <w:t xml:space="preserve">. </w:t>
      </w:r>
    </w:p>
    <w:p w:rsidR="00D951EF" w:rsidRDefault="00D951EF" w:rsidP="00685338">
      <w:pPr>
        <w:numPr>
          <w:ilvl w:val="12"/>
          <w:numId w:val="0"/>
        </w:numPr>
        <w:ind w:left="283"/>
        <w:jc w:val="both"/>
        <w:rPr>
          <w:rFonts w:ascii="Arial" w:hAnsi="Arial"/>
        </w:rPr>
      </w:pPr>
    </w:p>
    <w:p w:rsidR="00D951EF" w:rsidRDefault="00D951EF" w:rsidP="00685338">
      <w:pPr>
        <w:numPr>
          <w:ilvl w:val="12"/>
          <w:numId w:val="0"/>
        </w:numPr>
        <w:ind w:left="283"/>
        <w:jc w:val="both"/>
        <w:rPr>
          <w:rFonts w:ascii="Arial" w:hAnsi="Arial"/>
        </w:rPr>
      </w:pPr>
    </w:p>
    <w:p w:rsidR="004E02D7" w:rsidRPr="002262F0" w:rsidRDefault="004E02D7" w:rsidP="00685338">
      <w:pPr>
        <w:numPr>
          <w:ilvl w:val="12"/>
          <w:numId w:val="0"/>
        </w:numPr>
        <w:ind w:left="283"/>
        <w:jc w:val="both"/>
        <w:rPr>
          <w:rFonts w:ascii="Arial" w:hAnsi="Arial"/>
        </w:rPr>
      </w:pPr>
    </w:p>
    <w:p w:rsidR="00685338" w:rsidRPr="002262F0" w:rsidRDefault="00685338" w:rsidP="00685338">
      <w:pPr>
        <w:numPr>
          <w:ilvl w:val="0"/>
          <w:numId w:val="20"/>
        </w:numPr>
        <w:spacing w:after="0" w:line="240" w:lineRule="auto"/>
        <w:jc w:val="both"/>
        <w:rPr>
          <w:rFonts w:ascii="Arial" w:hAnsi="Arial"/>
        </w:rPr>
      </w:pPr>
      <w:r w:rsidRPr="002262F0">
        <w:rPr>
          <w:rFonts w:ascii="Arial" w:hAnsi="Arial"/>
        </w:rPr>
        <w:t>Apoyos a la inversión por recuperar -</w:t>
      </w:r>
    </w:p>
    <w:p w:rsidR="00685338" w:rsidRPr="002262F0" w:rsidRDefault="00685338" w:rsidP="00685338">
      <w:pPr>
        <w:jc w:val="both"/>
        <w:rPr>
          <w:rFonts w:ascii="Arial" w:hAnsi="Arial"/>
        </w:rPr>
      </w:pPr>
    </w:p>
    <w:p w:rsidR="00685338" w:rsidRPr="002262F0" w:rsidRDefault="00685338" w:rsidP="00685338">
      <w:pPr>
        <w:ind w:left="284"/>
        <w:jc w:val="both"/>
        <w:rPr>
          <w:rFonts w:ascii="Arial" w:hAnsi="Arial"/>
        </w:rPr>
      </w:pPr>
      <w:r w:rsidRPr="002262F0">
        <w:rPr>
          <w:rFonts w:ascii="Arial" w:hAnsi="Arial"/>
        </w:rPr>
        <w:t>Del presupuesto asignado</w:t>
      </w:r>
      <w:r>
        <w:rPr>
          <w:rFonts w:ascii="Arial" w:hAnsi="Arial"/>
        </w:rPr>
        <w:t xml:space="preserve"> </w:t>
      </w:r>
      <w:r w:rsidR="00CB2BEE">
        <w:rPr>
          <w:rFonts w:ascii="Arial" w:hAnsi="Arial"/>
        </w:rPr>
        <w:t xml:space="preserve">al </w:t>
      </w:r>
      <w:r w:rsidR="00CB2BEE" w:rsidRPr="002262F0">
        <w:rPr>
          <w:rFonts w:ascii="Arial" w:hAnsi="Arial"/>
        </w:rPr>
        <w:t>Centro</w:t>
      </w:r>
      <w:r w:rsidRPr="002262F0">
        <w:rPr>
          <w:rFonts w:ascii="Arial" w:hAnsi="Arial"/>
        </w:rPr>
        <w:t xml:space="preserve"> para la Inversión y </w:t>
      </w:r>
      <w:r>
        <w:rPr>
          <w:rFonts w:ascii="Arial" w:hAnsi="Arial"/>
        </w:rPr>
        <w:t>el Comercio</w:t>
      </w:r>
      <w:r w:rsidRPr="002262F0">
        <w:rPr>
          <w:rFonts w:ascii="Arial" w:hAnsi="Arial"/>
        </w:rPr>
        <w:t xml:space="preserve"> (CIT) </w:t>
      </w:r>
      <w:r w:rsidR="00276170" w:rsidRPr="002262F0">
        <w:rPr>
          <w:rFonts w:ascii="Arial" w:hAnsi="Arial"/>
        </w:rPr>
        <w:t>para utilizarse</w:t>
      </w:r>
      <w:r w:rsidRPr="002262F0">
        <w:rPr>
          <w:rFonts w:ascii="Arial" w:hAnsi="Arial"/>
        </w:rPr>
        <w:t xml:space="preserve"> en apoyar la instalación de nuevas empresas o el crecimiento de las empresas ya instaladas en el Estado, también se otorgan </w:t>
      </w:r>
      <w:r w:rsidR="008F15F4" w:rsidRPr="002262F0">
        <w:rPr>
          <w:rFonts w:ascii="Arial" w:hAnsi="Arial"/>
        </w:rPr>
        <w:t>apoyos temporales</w:t>
      </w:r>
      <w:r w:rsidRPr="002262F0">
        <w:rPr>
          <w:rFonts w:ascii="Arial" w:hAnsi="Arial"/>
        </w:rPr>
        <w:t xml:space="preserve"> por recuperar a empresas que se instalan en el Estado y que requieren apoyo para iniciar sus operaciones, el saldo </w:t>
      </w:r>
      <w:r w:rsidR="002406CF">
        <w:rPr>
          <w:rFonts w:ascii="Arial" w:hAnsi="Arial"/>
        </w:rPr>
        <w:t xml:space="preserve">a la fecha </w:t>
      </w:r>
      <w:r w:rsidR="00CB2BEE" w:rsidRPr="002262F0">
        <w:rPr>
          <w:rFonts w:ascii="Arial" w:hAnsi="Arial"/>
        </w:rPr>
        <w:t>por</w:t>
      </w:r>
      <w:r w:rsidRPr="002262F0">
        <w:rPr>
          <w:rFonts w:ascii="Arial" w:hAnsi="Arial"/>
        </w:rPr>
        <w:t xml:space="preserve"> $1,</w:t>
      </w:r>
      <w:r w:rsidR="00413AEE">
        <w:rPr>
          <w:rFonts w:ascii="Arial" w:hAnsi="Arial"/>
        </w:rPr>
        <w:t>33</w:t>
      </w:r>
      <w:r w:rsidRPr="002262F0">
        <w:rPr>
          <w:rFonts w:ascii="Arial" w:hAnsi="Arial"/>
        </w:rPr>
        <w:t>0,000 se integra de la siguiente manera:</w:t>
      </w:r>
    </w:p>
    <w:p w:rsidR="00685338" w:rsidRPr="002262F0" w:rsidRDefault="00685338" w:rsidP="00685338">
      <w:pPr>
        <w:numPr>
          <w:ilvl w:val="1"/>
          <w:numId w:val="8"/>
        </w:numPr>
        <w:spacing w:after="0" w:line="240" w:lineRule="auto"/>
        <w:jc w:val="both"/>
        <w:rPr>
          <w:rFonts w:ascii="Arial" w:hAnsi="Arial"/>
        </w:rPr>
      </w:pPr>
      <w:r w:rsidRPr="002262F0">
        <w:rPr>
          <w:rFonts w:ascii="Arial" w:hAnsi="Arial"/>
        </w:rPr>
        <w:t xml:space="preserve">Empresa CES Cobranza Especializada S.C. $ </w:t>
      </w:r>
      <w:r>
        <w:rPr>
          <w:rFonts w:ascii="Arial" w:hAnsi="Arial"/>
        </w:rPr>
        <w:t>33</w:t>
      </w:r>
      <w:r w:rsidRPr="002262F0">
        <w:rPr>
          <w:rFonts w:ascii="Arial" w:hAnsi="Arial"/>
        </w:rPr>
        <w:t>0,000</w:t>
      </w:r>
      <w:r>
        <w:rPr>
          <w:rFonts w:ascii="Arial" w:hAnsi="Arial"/>
        </w:rPr>
        <w:t>.00</w:t>
      </w:r>
      <w:r w:rsidRPr="002262F0">
        <w:rPr>
          <w:rFonts w:ascii="Arial" w:hAnsi="Arial"/>
        </w:rPr>
        <w:t xml:space="preserve">, por concepto de </w:t>
      </w:r>
      <w:r w:rsidR="00CB2BEE" w:rsidRPr="002262F0">
        <w:rPr>
          <w:rFonts w:ascii="Arial" w:hAnsi="Arial"/>
        </w:rPr>
        <w:t>apoyo la</w:t>
      </w:r>
      <w:r w:rsidRPr="002262F0">
        <w:rPr>
          <w:rFonts w:ascii="Arial" w:hAnsi="Arial"/>
        </w:rPr>
        <w:t xml:space="preserve"> inversión por </w:t>
      </w:r>
      <w:r w:rsidR="00CB2BEE" w:rsidRPr="002262F0">
        <w:rPr>
          <w:rFonts w:ascii="Arial" w:hAnsi="Arial"/>
        </w:rPr>
        <w:t>recuperar para</w:t>
      </w:r>
      <w:r w:rsidRPr="002262F0">
        <w:rPr>
          <w:rFonts w:ascii="Arial" w:hAnsi="Arial"/>
        </w:rPr>
        <w:t xml:space="preserve"> concretar </w:t>
      </w:r>
      <w:r w:rsidR="00CB2BEE" w:rsidRPr="002262F0">
        <w:rPr>
          <w:rFonts w:ascii="Arial" w:hAnsi="Arial"/>
        </w:rPr>
        <w:t>la instalación</w:t>
      </w:r>
      <w:r w:rsidRPr="002262F0">
        <w:rPr>
          <w:rFonts w:ascii="Arial" w:hAnsi="Arial"/>
        </w:rPr>
        <w:t xml:space="preserve"> de un Call Center en la Ciudad de Culiacán. Este apoyo por recuperar se encuentra documentado con préstamo hipotecario a favor del CODESIN y certificada ante notario </w:t>
      </w:r>
      <w:r w:rsidR="00CB2BEE" w:rsidRPr="002262F0">
        <w:rPr>
          <w:rFonts w:ascii="Arial" w:hAnsi="Arial"/>
        </w:rPr>
        <w:t>público</w:t>
      </w:r>
      <w:r w:rsidRPr="002262F0">
        <w:rPr>
          <w:rFonts w:ascii="Arial" w:hAnsi="Arial"/>
        </w:rPr>
        <w:t xml:space="preserve"> la hipoteca.</w:t>
      </w:r>
    </w:p>
    <w:p w:rsidR="00685338" w:rsidRDefault="00685338" w:rsidP="00685338">
      <w:pPr>
        <w:numPr>
          <w:ilvl w:val="1"/>
          <w:numId w:val="8"/>
        </w:numPr>
        <w:spacing w:after="0" w:line="240" w:lineRule="auto"/>
        <w:jc w:val="both"/>
        <w:rPr>
          <w:rFonts w:ascii="Arial" w:hAnsi="Arial"/>
        </w:rPr>
      </w:pPr>
      <w:r w:rsidRPr="002262F0">
        <w:rPr>
          <w:rFonts w:ascii="Arial" w:hAnsi="Arial"/>
        </w:rPr>
        <w:t>Empresa Contacto Marketing del Humaya S.A. de C.V. $ 1,000,000</w:t>
      </w:r>
      <w:r>
        <w:rPr>
          <w:rFonts w:ascii="Arial" w:hAnsi="Arial"/>
        </w:rPr>
        <w:t>.00</w:t>
      </w:r>
      <w:r w:rsidRPr="002262F0">
        <w:rPr>
          <w:rFonts w:ascii="Arial" w:hAnsi="Arial"/>
        </w:rPr>
        <w:t xml:space="preserve"> por concepto de apoyo  la inversión por recuperar  para apoyar la  instalación de un Call Center en la Ciudad de Navolato. Este apoyo por recuperar se encuentra documentado con préstamo con garantía prendaría</w:t>
      </w:r>
      <w:r>
        <w:rPr>
          <w:rFonts w:ascii="Arial" w:hAnsi="Arial"/>
        </w:rPr>
        <w:t>,</w:t>
      </w:r>
      <w:r w:rsidRPr="002262F0">
        <w:rPr>
          <w:rFonts w:ascii="Arial" w:hAnsi="Arial"/>
        </w:rPr>
        <w:t xml:space="preserve"> donde la empresa dejo como garantía prendaría las facturas que ampara</w:t>
      </w:r>
      <w:r>
        <w:rPr>
          <w:rFonts w:ascii="Arial" w:hAnsi="Arial"/>
        </w:rPr>
        <w:t>n</w:t>
      </w:r>
      <w:r w:rsidRPr="002262F0">
        <w:rPr>
          <w:rFonts w:ascii="Arial" w:hAnsi="Arial"/>
        </w:rPr>
        <w:t xml:space="preserve"> la adquisición de mobiliario y </w:t>
      </w:r>
      <w:r w:rsidR="00710E66">
        <w:rPr>
          <w:rFonts w:ascii="Arial" w:hAnsi="Arial"/>
        </w:rPr>
        <w:t xml:space="preserve">equipo de computo de la empresa, se esta gestionando su cobro por la </w:t>
      </w:r>
      <w:r w:rsidR="00CB2BEE">
        <w:rPr>
          <w:rFonts w:ascii="Arial" w:hAnsi="Arial"/>
        </w:rPr>
        <w:t>vía legal, ya se tramito demanda</w:t>
      </w:r>
      <w:r w:rsidR="00710E66">
        <w:rPr>
          <w:rFonts w:ascii="Arial" w:hAnsi="Arial"/>
        </w:rPr>
        <w:t xml:space="preserve"> legal ante las autoridades competentes.</w:t>
      </w:r>
    </w:p>
    <w:p w:rsidR="004E02D7" w:rsidRDefault="004E02D7" w:rsidP="00685338">
      <w:pPr>
        <w:jc w:val="both"/>
        <w:rPr>
          <w:rFonts w:ascii="Arial" w:hAnsi="Arial"/>
          <w:b/>
        </w:rPr>
      </w:pPr>
    </w:p>
    <w:p w:rsidR="00D951EF" w:rsidRDefault="00D951EF" w:rsidP="00685338">
      <w:pPr>
        <w:jc w:val="both"/>
        <w:rPr>
          <w:rFonts w:ascii="Arial" w:hAnsi="Arial"/>
          <w:b/>
        </w:rPr>
      </w:pPr>
      <w:bookmarkStart w:id="0" w:name="_GoBack"/>
      <w:bookmarkEnd w:id="0"/>
    </w:p>
    <w:p w:rsidR="00685338" w:rsidRPr="002262F0" w:rsidRDefault="00685338" w:rsidP="00685338">
      <w:pPr>
        <w:jc w:val="both"/>
        <w:rPr>
          <w:rFonts w:ascii="Arial" w:hAnsi="Arial"/>
          <w:b/>
        </w:rPr>
      </w:pPr>
      <w:r w:rsidRPr="002262F0">
        <w:rPr>
          <w:rFonts w:ascii="Arial" w:hAnsi="Arial"/>
          <w:b/>
        </w:rPr>
        <w:t>Ingresos:</w:t>
      </w:r>
    </w:p>
    <w:p w:rsidR="00685338" w:rsidRPr="002262F0" w:rsidRDefault="00685338" w:rsidP="00685338">
      <w:pPr>
        <w:numPr>
          <w:ilvl w:val="12"/>
          <w:numId w:val="0"/>
        </w:numPr>
        <w:ind w:left="283"/>
        <w:jc w:val="both"/>
        <w:rPr>
          <w:rFonts w:ascii="Arial" w:hAnsi="Arial"/>
        </w:rPr>
      </w:pPr>
    </w:p>
    <w:p w:rsidR="005E4BEC" w:rsidRDefault="00685338" w:rsidP="005E4BEC">
      <w:pPr>
        <w:numPr>
          <w:ilvl w:val="0"/>
          <w:numId w:val="15"/>
        </w:numPr>
        <w:spacing w:after="0" w:line="240" w:lineRule="auto"/>
        <w:jc w:val="both"/>
        <w:rPr>
          <w:rFonts w:ascii="Arial" w:hAnsi="Arial"/>
        </w:rPr>
      </w:pPr>
      <w:r w:rsidRPr="002262F0">
        <w:rPr>
          <w:rFonts w:ascii="Arial" w:hAnsi="Arial"/>
          <w:b/>
        </w:rPr>
        <w:t xml:space="preserve">Subsidio </w:t>
      </w:r>
      <w:r w:rsidR="00434120" w:rsidRPr="002262F0">
        <w:rPr>
          <w:rFonts w:ascii="Arial" w:hAnsi="Arial"/>
          <w:b/>
        </w:rPr>
        <w:t>Estatal</w:t>
      </w:r>
      <w:r w:rsidR="00434120" w:rsidRPr="002262F0">
        <w:rPr>
          <w:rFonts w:ascii="Arial" w:hAnsi="Arial"/>
        </w:rPr>
        <w:t>. -</w:t>
      </w:r>
      <w:r w:rsidRPr="002262F0">
        <w:rPr>
          <w:rFonts w:ascii="Arial" w:hAnsi="Arial"/>
        </w:rPr>
        <w:t xml:space="preserve"> Son los recursos que el Gobierno del Estado asigna a CODESIN mediante aprobación </w:t>
      </w:r>
      <w:r w:rsidR="00434120" w:rsidRPr="002262F0">
        <w:rPr>
          <w:rFonts w:ascii="Arial" w:hAnsi="Arial"/>
        </w:rPr>
        <w:t>en la</w:t>
      </w:r>
      <w:r w:rsidRPr="002262F0">
        <w:rPr>
          <w:rFonts w:ascii="Arial" w:hAnsi="Arial"/>
        </w:rPr>
        <w:t xml:space="preserve"> Ley de Ingresos y Presupuesto de Egresos que publica cada año, que en el caso del presupuesto asignado para el año 20</w:t>
      </w:r>
      <w:r w:rsidR="00D706D6">
        <w:rPr>
          <w:rFonts w:ascii="Arial" w:hAnsi="Arial"/>
        </w:rPr>
        <w:t>20</w:t>
      </w:r>
      <w:r w:rsidRPr="002262F0">
        <w:rPr>
          <w:rFonts w:ascii="Arial" w:hAnsi="Arial"/>
        </w:rPr>
        <w:t xml:space="preserve"> fue publicado en el Periódico Oficial “El Estado de Sinaloa” de </w:t>
      </w:r>
      <w:r w:rsidR="00434120" w:rsidRPr="002262F0">
        <w:rPr>
          <w:rFonts w:ascii="Arial" w:hAnsi="Arial"/>
        </w:rPr>
        <w:t>fecha de</w:t>
      </w:r>
      <w:r>
        <w:rPr>
          <w:rFonts w:ascii="Arial" w:hAnsi="Arial"/>
        </w:rPr>
        <w:t xml:space="preserve"> </w:t>
      </w:r>
      <w:r w:rsidR="00941543">
        <w:rPr>
          <w:rFonts w:ascii="Arial" w:hAnsi="Arial"/>
        </w:rPr>
        <w:t>2</w:t>
      </w:r>
      <w:r w:rsidR="00A27606">
        <w:rPr>
          <w:rFonts w:ascii="Arial" w:hAnsi="Arial"/>
        </w:rPr>
        <w:t>5</w:t>
      </w:r>
      <w:r w:rsidRPr="002262F0">
        <w:rPr>
          <w:rFonts w:ascii="Arial" w:hAnsi="Arial"/>
        </w:rPr>
        <w:t xml:space="preserve"> </w:t>
      </w:r>
      <w:r w:rsidR="00D706D6">
        <w:rPr>
          <w:rFonts w:ascii="Arial" w:hAnsi="Arial"/>
        </w:rPr>
        <w:t>de diciembre</w:t>
      </w:r>
      <w:r w:rsidRPr="002262F0">
        <w:rPr>
          <w:rFonts w:ascii="Arial" w:hAnsi="Arial"/>
        </w:rPr>
        <w:t xml:space="preserve"> de 20</w:t>
      </w:r>
      <w:r>
        <w:rPr>
          <w:rFonts w:ascii="Arial" w:hAnsi="Arial"/>
        </w:rPr>
        <w:t>1</w:t>
      </w:r>
      <w:r w:rsidR="00A27606">
        <w:rPr>
          <w:rFonts w:ascii="Arial" w:hAnsi="Arial"/>
        </w:rPr>
        <w:t>9</w:t>
      </w:r>
      <w:r w:rsidR="005E4BEC">
        <w:rPr>
          <w:rFonts w:ascii="Arial" w:hAnsi="Arial"/>
        </w:rPr>
        <w:t>.</w:t>
      </w:r>
    </w:p>
    <w:p w:rsidR="005E4BEC" w:rsidRDefault="005E4BEC" w:rsidP="005E4BEC">
      <w:pPr>
        <w:spacing w:after="0" w:line="240" w:lineRule="auto"/>
        <w:ind w:left="1080"/>
        <w:jc w:val="both"/>
        <w:rPr>
          <w:rFonts w:ascii="Arial" w:hAnsi="Arial"/>
        </w:rPr>
      </w:pPr>
    </w:p>
    <w:p w:rsidR="004E02D7" w:rsidRDefault="004E02D7" w:rsidP="005E4BEC">
      <w:pPr>
        <w:spacing w:after="0" w:line="240" w:lineRule="auto"/>
        <w:ind w:left="1080"/>
        <w:jc w:val="both"/>
        <w:rPr>
          <w:rFonts w:ascii="Arial" w:hAnsi="Arial"/>
        </w:rPr>
      </w:pPr>
    </w:p>
    <w:p w:rsidR="005E4BEC" w:rsidRDefault="005E4BEC" w:rsidP="005E4BEC">
      <w:pPr>
        <w:spacing w:after="0" w:line="240" w:lineRule="auto"/>
        <w:ind w:left="1080"/>
        <w:jc w:val="both"/>
        <w:rPr>
          <w:rFonts w:ascii="Arial" w:hAnsi="Arial"/>
        </w:rPr>
      </w:pPr>
    </w:p>
    <w:p w:rsidR="005E4BEC" w:rsidRDefault="005E4BEC" w:rsidP="005E4BEC">
      <w:pPr>
        <w:spacing w:after="0" w:line="240" w:lineRule="auto"/>
        <w:ind w:left="720"/>
        <w:jc w:val="both"/>
        <w:rPr>
          <w:rFonts w:ascii="Arial" w:hAnsi="Arial"/>
        </w:rPr>
      </w:pPr>
      <w:r>
        <w:rPr>
          <w:rFonts w:ascii="Arial" w:hAnsi="Arial"/>
        </w:rPr>
        <w:t>El pleno del CODESIN aprobó que este presupuesto se distribuyera de la siguiente manera:</w:t>
      </w:r>
    </w:p>
    <w:p w:rsidR="005E4BEC" w:rsidRDefault="005E4BEC" w:rsidP="005E4BEC">
      <w:pPr>
        <w:spacing w:after="0" w:line="240" w:lineRule="auto"/>
        <w:ind w:left="720"/>
        <w:jc w:val="both"/>
        <w:rPr>
          <w:rFonts w:ascii="Arial" w:hAnsi="Arial"/>
        </w:rPr>
      </w:pPr>
    </w:p>
    <w:p w:rsidR="005E4BEC" w:rsidRDefault="00D706D6" w:rsidP="005E4BEC">
      <w:pPr>
        <w:spacing w:after="0" w:line="240" w:lineRule="auto"/>
        <w:ind w:left="720"/>
        <w:jc w:val="both"/>
        <w:rPr>
          <w:rFonts w:ascii="Arial" w:hAnsi="Arial"/>
        </w:rPr>
      </w:pPr>
      <w:r w:rsidRPr="00D706D6">
        <w:rPr>
          <w:noProof/>
          <w:lang w:val="en-US"/>
        </w:rPr>
        <w:drawing>
          <wp:inline distT="0" distB="0" distL="0" distR="0">
            <wp:extent cx="5116195" cy="664908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6195" cy="6649085"/>
                    </a:xfrm>
                    <a:prstGeom prst="rect">
                      <a:avLst/>
                    </a:prstGeom>
                    <a:noFill/>
                    <a:ln>
                      <a:noFill/>
                    </a:ln>
                  </pic:spPr>
                </pic:pic>
              </a:graphicData>
            </a:graphic>
          </wp:inline>
        </w:drawing>
      </w:r>
    </w:p>
    <w:p w:rsidR="005E4BEC" w:rsidRDefault="005E4BEC" w:rsidP="005E4BEC">
      <w:pPr>
        <w:spacing w:after="0" w:line="240" w:lineRule="auto"/>
        <w:ind w:left="720"/>
        <w:jc w:val="both"/>
        <w:rPr>
          <w:rFonts w:ascii="Arial" w:hAnsi="Arial"/>
        </w:rPr>
      </w:pPr>
    </w:p>
    <w:p w:rsidR="00685338" w:rsidRDefault="005E4BEC" w:rsidP="005E4BEC">
      <w:pPr>
        <w:spacing w:after="0" w:line="240" w:lineRule="auto"/>
        <w:ind w:left="720"/>
        <w:jc w:val="both"/>
        <w:rPr>
          <w:rFonts w:ascii="Arial" w:hAnsi="Arial"/>
        </w:rPr>
      </w:pPr>
      <w:r w:rsidRPr="002262F0">
        <w:rPr>
          <w:rFonts w:ascii="Arial" w:hAnsi="Arial"/>
        </w:rPr>
        <w:t xml:space="preserve"> </w:t>
      </w:r>
      <w:r w:rsidR="00685338" w:rsidRPr="002262F0">
        <w:rPr>
          <w:rFonts w:ascii="Arial" w:hAnsi="Arial"/>
        </w:rPr>
        <w:t xml:space="preserve">Este importe es entregado a través de aportaciones mensuales conforme a un calendario autorizado. </w:t>
      </w:r>
    </w:p>
    <w:p w:rsidR="005E4BEC" w:rsidRPr="002262F0" w:rsidRDefault="005E4BEC" w:rsidP="005E4BEC">
      <w:pPr>
        <w:spacing w:after="0" w:line="240" w:lineRule="auto"/>
        <w:ind w:left="720"/>
        <w:jc w:val="both"/>
        <w:rPr>
          <w:rFonts w:ascii="Arial" w:hAnsi="Arial"/>
        </w:rPr>
      </w:pPr>
    </w:p>
    <w:p w:rsidR="00685338" w:rsidRPr="002262F0" w:rsidRDefault="00685338" w:rsidP="00685338">
      <w:pPr>
        <w:ind w:left="720"/>
        <w:jc w:val="both"/>
        <w:rPr>
          <w:rFonts w:ascii="Arial" w:hAnsi="Arial"/>
        </w:rPr>
      </w:pPr>
      <w:r w:rsidRPr="002262F0">
        <w:rPr>
          <w:rFonts w:ascii="Arial" w:hAnsi="Arial"/>
        </w:rPr>
        <w:t xml:space="preserve">Esta asignación de presupuesto al CODESIN se establece en el Artículo 98 frac. I de la Ley de Fomento a la Inversión para el Desarrollo Económico del Estado de Sinaloa donde dice que las asignaciones que otorgue el Gobierno del Estado al CODESIN nunca podrán ser menores al 20% del ingreso anual por concepto del impuesto sobre </w:t>
      </w:r>
      <w:r w:rsidR="00710E66" w:rsidRPr="002262F0">
        <w:rPr>
          <w:rFonts w:ascii="Arial" w:hAnsi="Arial"/>
        </w:rPr>
        <w:t>nómina</w:t>
      </w:r>
      <w:r w:rsidRPr="002262F0">
        <w:rPr>
          <w:rFonts w:ascii="Arial" w:hAnsi="Arial"/>
        </w:rPr>
        <w:t>, correspondiente al ejercicio inmediato anterior.</w:t>
      </w:r>
    </w:p>
    <w:p w:rsidR="00685338" w:rsidRPr="002262F0" w:rsidRDefault="00685338" w:rsidP="00685338">
      <w:pPr>
        <w:ind w:left="720"/>
        <w:rPr>
          <w:rFonts w:ascii="Arial" w:hAnsi="Arial"/>
        </w:rPr>
      </w:pPr>
      <w:r w:rsidRPr="002262F0">
        <w:rPr>
          <w:rFonts w:ascii="Arial" w:hAnsi="Arial"/>
        </w:rPr>
        <w:t xml:space="preserve">Ley de Hacienda del Estado de </w:t>
      </w:r>
      <w:r w:rsidR="002406CF" w:rsidRPr="002262F0">
        <w:rPr>
          <w:rFonts w:ascii="Arial" w:hAnsi="Arial"/>
        </w:rPr>
        <w:t>Sinaloa en</w:t>
      </w:r>
      <w:r w:rsidRPr="002262F0">
        <w:rPr>
          <w:rFonts w:ascii="Arial" w:hAnsi="Arial"/>
        </w:rPr>
        <w:t xml:space="preserve"> su artículo Quinto Transitorio establece que:</w:t>
      </w:r>
    </w:p>
    <w:p w:rsidR="00685338" w:rsidRPr="002262F0" w:rsidRDefault="00685338" w:rsidP="00685338">
      <w:pPr>
        <w:ind w:left="720"/>
        <w:jc w:val="both"/>
        <w:rPr>
          <w:rFonts w:ascii="Arial" w:hAnsi="Arial"/>
        </w:rPr>
      </w:pPr>
      <w:r w:rsidRPr="002262F0">
        <w:rPr>
          <w:rFonts w:ascii="Arial" w:hAnsi="Arial"/>
        </w:rPr>
        <w:t xml:space="preserve">El monto de lo recaudado por concepto del Impuesto Sobre Nóminas, se  integrará a un Fondo de Solidaridad, que será destinado a inversión pública en aquellos  renglones que acuerde el  organismo que se constituya mediante decreto para tal efecto, así  como al patrimonio del Consejo para el Desarrollo Económico de Sinaloa. </w:t>
      </w:r>
    </w:p>
    <w:p w:rsidR="00685338" w:rsidRPr="002262F0" w:rsidRDefault="00685338" w:rsidP="00685338">
      <w:pPr>
        <w:ind w:left="720"/>
        <w:jc w:val="both"/>
        <w:rPr>
          <w:rFonts w:ascii="Arial" w:hAnsi="Arial"/>
        </w:rPr>
      </w:pPr>
      <w:r w:rsidRPr="002262F0">
        <w:rPr>
          <w:rFonts w:ascii="Arial" w:hAnsi="Arial"/>
        </w:rPr>
        <w:t xml:space="preserve">La aportación que otorgue el Gobierno del Estado de Sinaloa, al patrimonio del </w:t>
      </w:r>
      <w:r w:rsidR="005E4BEC" w:rsidRPr="002262F0">
        <w:rPr>
          <w:rFonts w:ascii="Arial" w:hAnsi="Arial"/>
        </w:rPr>
        <w:t>referido Consejo</w:t>
      </w:r>
      <w:r w:rsidRPr="002262F0">
        <w:rPr>
          <w:rFonts w:ascii="Arial" w:hAnsi="Arial"/>
        </w:rPr>
        <w:t xml:space="preserve">, nunca podrá ser menor al 20% de los ingresos anuales por concepto de </w:t>
      </w:r>
      <w:r w:rsidR="00276170" w:rsidRPr="002262F0">
        <w:rPr>
          <w:rFonts w:ascii="Arial" w:hAnsi="Arial"/>
        </w:rPr>
        <w:t>dicho Impuesto</w:t>
      </w:r>
      <w:r w:rsidRPr="002262F0">
        <w:rPr>
          <w:rFonts w:ascii="Arial" w:hAnsi="Arial"/>
        </w:rPr>
        <w:t xml:space="preserve"> en el ejercicio fiscal inmediato anterior.</w:t>
      </w:r>
    </w:p>
    <w:p w:rsidR="00685338" w:rsidRPr="002262F0" w:rsidRDefault="00685338" w:rsidP="00685338">
      <w:pPr>
        <w:ind w:left="720"/>
        <w:jc w:val="both"/>
        <w:rPr>
          <w:rFonts w:ascii="Arial" w:hAnsi="Arial"/>
        </w:rPr>
      </w:pPr>
      <w:r w:rsidRPr="00B049E4">
        <w:rPr>
          <w:rFonts w:ascii="Arial" w:hAnsi="Arial"/>
        </w:rPr>
        <w:t>Del Decreto No. 38, publicado en el P.O No. 156 de 28 de diciembre de 2007, primera sección</w:t>
      </w:r>
      <w:r>
        <w:rPr>
          <w:rFonts w:ascii="Arial" w:hAnsi="Arial"/>
        </w:rPr>
        <w:t xml:space="preserve"> </w:t>
      </w:r>
      <w:r w:rsidRPr="002262F0">
        <w:rPr>
          <w:rFonts w:ascii="Arial" w:hAnsi="Arial"/>
        </w:rPr>
        <w:t>establece:</w:t>
      </w:r>
      <w:r>
        <w:rPr>
          <w:rFonts w:ascii="Arial" w:hAnsi="Arial"/>
        </w:rPr>
        <w:t xml:space="preserve"> </w:t>
      </w:r>
      <w:r w:rsidRPr="002262F0">
        <w:rPr>
          <w:rFonts w:ascii="Arial" w:hAnsi="Arial"/>
        </w:rPr>
        <w:t>La aportación que otorgue el Gobierno del Estado de Sinaloa, al  patrimonio del Consejo para el Desarrollo Económico de Sinaloa en cada ejercicio fiscal, será  el equivalente al 20% de lo  recaudado en el ejercicio fiscal 2007 del Impuesto Sobre Nóminas,  cantidad que en ejercicios posteriores se tomará como base para integrar su patrimonio, la que  será actualizada en términos reales en cada ejercicio.</w:t>
      </w:r>
    </w:p>
    <w:p w:rsidR="00685338" w:rsidRPr="002262F0" w:rsidRDefault="00685338" w:rsidP="00685338">
      <w:pPr>
        <w:jc w:val="both"/>
        <w:rPr>
          <w:rFonts w:ascii="Arial" w:hAnsi="Arial"/>
        </w:rPr>
      </w:pPr>
      <w:r w:rsidRPr="002262F0">
        <w:rPr>
          <w:rFonts w:ascii="Arial" w:hAnsi="Arial"/>
        </w:rPr>
        <w:tab/>
      </w:r>
      <w:r>
        <w:rPr>
          <w:rFonts w:ascii="Arial" w:hAnsi="Arial"/>
        </w:rPr>
        <w:t xml:space="preserve">    </w:t>
      </w:r>
    </w:p>
    <w:tbl>
      <w:tblPr>
        <w:tblW w:w="10611" w:type="dxa"/>
        <w:tblInd w:w="-215" w:type="dxa"/>
        <w:tblLayout w:type="fixed"/>
        <w:tblCellMar>
          <w:left w:w="71" w:type="dxa"/>
          <w:right w:w="71" w:type="dxa"/>
        </w:tblCellMar>
        <w:tblLook w:val="0000" w:firstRow="0" w:lastRow="0" w:firstColumn="0" w:lastColumn="0" w:noHBand="0" w:noVBand="0"/>
      </w:tblPr>
      <w:tblGrid>
        <w:gridCol w:w="1418"/>
        <w:gridCol w:w="9193"/>
      </w:tblGrid>
      <w:tr w:rsidR="00685338" w:rsidRPr="002262F0" w:rsidTr="006A0C92">
        <w:tc>
          <w:tcPr>
            <w:tcW w:w="1418" w:type="dxa"/>
          </w:tcPr>
          <w:p w:rsidR="00685338" w:rsidRPr="002262F0" w:rsidRDefault="00685338" w:rsidP="005E4BEC">
            <w:pPr>
              <w:jc w:val="both"/>
              <w:rPr>
                <w:rFonts w:ascii="Arial" w:hAnsi="Arial"/>
                <w:b/>
              </w:rPr>
            </w:pPr>
            <w:r w:rsidRPr="002262F0">
              <w:rPr>
                <w:rFonts w:ascii="Arial" w:hAnsi="Arial"/>
                <w:b/>
              </w:rPr>
              <w:t xml:space="preserve">Nota </w:t>
            </w:r>
            <w:r w:rsidR="005E4BEC">
              <w:rPr>
                <w:rFonts w:ascii="Arial" w:hAnsi="Arial"/>
                <w:b/>
              </w:rPr>
              <w:t>3</w:t>
            </w:r>
            <w:r w:rsidRPr="002262F0">
              <w:rPr>
                <w:rFonts w:ascii="Arial" w:hAnsi="Arial"/>
                <w:b/>
              </w:rPr>
              <w:t>.-)</w:t>
            </w:r>
          </w:p>
        </w:tc>
        <w:tc>
          <w:tcPr>
            <w:tcW w:w="9193" w:type="dxa"/>
          </w:tcPr>
          <w:p w:rsidR="00685338" w:rsidRPr="002262F0" w:rsidRDefault="00685338" w:rsidP="006A0C92">
            <w:pPr>
              <w:jc w:val="both"/>
              <w:rPr>
                <w:rFonts w:ascii="Arial" w:hAnsi="Arial"/>
                <w:b/>
              </w:rPr>
            </w:pPr>
            <w:r w:rsidRPr="002262F0">
              <w:rPr>
                <w:rFonts w:ascii="Arial" w:hAnsi="Arial"/>
                <w:b/>
                <w:u w:val="single"/>
              </w:rPr>
              <w:t>Pasivos contingentes</w:t>
            </w:r>
          </w:p>
        </w:tc>
      </w:tr>
    </w:tbl>
    <w:p w:rsidR="00685338" w:rsidRPr="002262F0" w:rsidRDefault="00685338" w:rsidP="00685338">
      <w:pPr>
        <w:jc w:val="both"/>
        <w:rPr>
          <w:rFonts w:ascii="Arial" w:hAnsi="Arial"/>
        </w:rPr>
      </w:pPr>
      <w:r w:rsidRPr="00BA608C">
        <w:rPr>
          <w:rFonts w:ascii="Arial" w:hAnsi="Arial"/>
        </w:rPr>
        <w:t>a-)</w:t>
      </w:r>
      <w:r w:rsidRPr="002262F0">
        <w:rPr>
          <w:rFonts w:ascii="Arial" w:hAnsi="Arial"/>
          <w:b/>
        </w:rPr>
        <w:t xml:space="preserve"> Por obligaciones laborales:</w:t>
      </w:r>
    </w:p>
    <w:p w:rsidR="00685338" w:rsidRDefault="00685338" w:rsidP="00685338">
      <w:pPr>
        <w:tabs>
          <w:tab w:val="left" w:pos="284"/>
        </w:tabs>
        <w:jc w:val="both"/>
        <w:rPr>
          <w:rFonts w:ascii="Arial" w:hAnsi="Arial"/>
        </w:rPr>
      </w:pPr>
      <w:r w:rsidRPr="002262F0">
        <w:rPr>
          <w:rFonts w:ascii="Arial" w:hAnsi="Arial"/>
        </w:rPr>
        <w:t>- Por las obligaciones que se deriven por concepto de indemnizaciones al personal, en caso de separación por causa injustificada y otras causas, bajo ciertas condiciones en los términos de la Ley Federal del Trabajo. No se ha determinado el pasivo máximo por este concepto ni por la prima de antigüedad obli</w:t>
      </w:r>
      <w:r w:rsidR="005E4BEC">
        <w:rPr>
          <w:rFonts w:ascii="Arial" w:hAnsi="Arial"/>
        </w:rPr>
        <w:t>gatoria a los 15 años cumplidos.</w:t>
      </w:r>
      <w:r w:rsidRPr="002262F0">
        <w:rPr>
          <w:rFonts w:ascii="Arial" w:hAnsi="Arial"/>
        </w:rPr>
        <w:t xml:space="preserve"> </w:t>
      </w:r>
    </w:p>
    <w:p w:rsidR="00685338" w:rsidRPr="002262F0" w:rsidRDefault="00685338" w:rsidP="00685338">
      <w:pPr>
        <w:jc w:val="both"/>
        <w:rPr>
          <w:rFonts w:ascii="Arial" w:hAnsi="Arial"/>
        </w:rPr>
      </w:pPr>
      <w:r w:rsidRPr="00BA608C">
        <w:rPr>
          <w:rFonts w:ascii="Arial" w:hAnsi="Arial"/>
        </w:rPr>
        <w:t>b-)</w:t>
      </w:r>
      <w:r w:rsidRPr="002262F0">
        <w:rPr>
          <w:rFonts w:ascii="Arial" w:hAnsi="Arial"/>
          <w:b/>
        </w:rPr>
        <w:t xml:space="preserve"> Por obligaciones fiscales:</w:t>
      </w:r>
    </w:p>
    <w:p w:rsidR="00685338" w:rsidRDefault="00685338" w:rsidP="00685338">
      <w:pPr>
        <w:jc w:val="both"/>
        <w:rPr>
          <w:rFonts w:ascii="Arial" w:hAnsi="Arial"/>
        </w:rPr>
      </w:pPr>
      <w:r w:rsidRPr="002262F0">
        <w:rPr>
          <w:rFonts w:ascii="Arial" w:hAnsi="Arial"/>
        </w:rPr>
        <w:t>El Organismo cumple con sus obligaciones fiscales de manera especial, dentro del régimen de personas morales no contribuyentes, por lo que solo tiene las obligaciones como retenedor.</w:t>
      </w:r>
    </w:p>
    <w:p w:rsidR="00685338" w:rsidRPr="002262F0" w:rsidRDefault="00685338" w:rsidP="00685338">
      <w:pPr>
        <w:jc w:val="both"/>
        <w:rPr>
          <w:rFonts w:ascii="Arial" w:hAnsi="Arial"/>
        </w:rPr>
      </w:pPr>
    </w:p>
    <w:tbl>
      <w:tblPr>
        <w:tblW w:w="0" w:type="auto"/>
        <w:tblInd w:w="-356" w:type="dxa"/>
        <w:tblLayout w:type="fixed"/>
        <w:tblCellMar>
          <w:left w:w="71" w:type="dxa"/>
          <w:right w:w="71" w:type="dxa"/>
        </w:tblCellMar>
        <w:tblLook w:val="0000" w:firstRow="0" w:lastRow="0" w:firstColumn="0" w:lastColumn="0" w:noHBand="0" w:noVBand="0"/>
      </w:tblPr>
      <w:tblGrid>
        <w:gridCol w:w="1418"/>
        <w:gridCol w:w="1622"/>
      </w:tblGrid>
      <w:tr w:rsidR="00685338" w:rsidRPr="002262F0" w:rsidTr="006A0C92">
        <w:tc>
          <w:tcPr>
            <w:tcW w:w="1418" w:type="dxa"/>
          </w:tcPr>
          <w:p w:rsidR="00685338" w:rsidRPr="002262F0" w:rsidRDefault="00685338" w:rsidP="005E4BEC">
            <w:pPr>
              <w:jc w:val="both"/>
              <w:rPr>
                <w:rFonts w:ascii="Arial" w:hAnsi="Arial"/>
                <w:b/>
              </w:rPr>
            </w:pPr>
            <w:r w:rsidRPr="002262F0">
              <w:rPr>
                <w:rFonts w:ascii="Arial" w:hAnsi="Arial"/>
                <w:b/>
              </w:rPr>
              <w:t xml:space="preserve">Nota </w:t>
            </w:r>
            <w:r w:rsidR="005E4BEC">
              <w:rPr>
                <w:rFonts w:ascii="Arial" w:hAnsi="Arial"/>
                <w:b/>
              </w:rPr>
              <w:t>4</w:t>
            </w:r>
            <w:r w:rsidRPr="002262F0">
              <w:rPr>
                <w:rFonts w:ascii="Arial" w:hAnsi="Arial"/>
                <w:b/>
              </w:rPr>
              <w:t>.-)</w:t>
            </w:r>
          </w:p>
        </w:tc>
        <w:tc>
          <w:tcPr>
            <w:tcW w:w="1622" w:type="dxa"/>
          </w:tcPr>
          <w:p w:rsidR="00685338" w:rsidRPr="002262F0" w:rsidRDefault="00685338" w:rsidP="006A0C92">
            <w:pPr>
              <w:jc w:val="both"/>
              <w:rPr>
                <w:rFonts w:ascii="Arial" w:hAnsi="Arial"/>
                <w:b/>
                <w:u w:val="single"/>
              </w:rPr>
            </w:pPr>
            <w:r w:rsidRPr="002262F0">
              <w:rPr>
                <w:rFonts w:ascii="Arial" w:hAnsi="Arial"/>
                <w:b/>
                <w:u w:val="single"/>
              </w:rPr>
              <w:t>Patrimonio</w:t>
            </w:r>
          </w:p>
        </w:tc>
      </w:tr>
    </w:tbl>
    <w:p w:rsidR="00685338" w:rsidRPr="002262F0" w:rsidRDefault="00685338" w:rsidP="00685338">
      <w:pPr>
        <w:jc w:val="both"/>
        <w:rPr>
          <w:rFonts w:ascii="Arial" w:hAnsi="Arial"/>
        </w:rPr>
      </w:pPr>
      <w:r w:rsidRPr="002262F0">
        <w:rPr>
          <w:rFonts w:ascii="Arial" w:hAnsi="Arial"/>
        </w:rPr>
        <w:t xml:space="preserve">El organismo recibió al inicio de su creación un presupuesto para integrarse y trabajar, de esa fecha a la actualidad se han adquirido activos y generado remanentes por el manejo eficiente de los recursos. CODESIN </w:t>
      </w:r>
      <w:r w:rsidR="00276170" w:rsidRPr="002262F0">
        <w:rPr>
          <w:rFonts w:ascii="Arial" w:hAnsi="Arial"/>
        </w:rPr>
        <w:t>está</w:t>
      </w:r>
      <w:r w:rsidRPr="002262F0">
        <w:rPr>
          <w:rFonts w:ascii="Arial" w:hAnsi="Arial"/>
        </w:rPr>
        <w:t xml:space="preserve"> facultado para tener patrimonio propio en </w:t>
      </w:r>
      <w:r w:rsidR="00CB2BEE" w:rsidRPr="002262F0">
        <w:rPr>
          <w:rFonts w:ascii="Arial" w:hAnsi="Arial"/>
        </w:rPr>
        <w:t>los</w:t>
      </w:r>
      <w:r w:rsidRPr="002262F0">
        <w:rPr>
          <w:rFonts w:ascii="Arial" w:hAnsi="Arial"/>
        </w:rPr>
        <w:t xml:space="preserve"> términos del artículo 37 de su Reglamento Interior que dice:</w:t>
      </w:r>
    </w:p>
    <w:p w:rsidR="00685338" w:rsidRPr="002262F0" w:rsidRDefault="00685338" w:rsidP="00685338">
      <w:pPr>
        <w:jc w:val="both"/>
        <w:rPr>
          <w:rFonts w:ascii="Arial" w:hAnsi="Arial"/>
        </w:rPr>
      </w:pPr>
      <w:r w:rsidRPr="002262F0">
        <w:rPr>
          <w:rFonts w:ascii="Arial" w:hAnsi="Arial"/>
        </w:rPr>
        <w:t>El patrimonio del CODESIN, estará formado por:</w:t>
      </w:r>
    </w:p>
    <w:p w:rsidR="00685338" w:rsidRPr="002262F0" w:rsidRDefault="00685338" w:rsidP="00685338">
      <w:pPr>
        <w:numPr>
          <w:ilvl w:val="1"/>
          <w:numId w:val="17"/>
        </w:numPr>
        <w:spacing w:after="0" w:line="240" w:lineRule="auto"/>
        <w:jc w:val="both"/>
        <w:rPr>
          <w:rFonts w:ascii="Arial" w:hAnsi="Arial"/>
        </w:rPr>
      </w:pPr>
      <w:r w:rsidRPr="002262F0">
        <w:rPr>
          <w:rFonts w:ascii="Arial" w:hAnsi="Arial"/>
        </w:rPr>
        <w:t>Las asignaciones que otorgue el Gobierno del Estado de Sinaloa que nunca podrán ser menores al 20% del ingreso anual por concepto del Impuesto sobre Nómina, correspondiente al año inmediato anterior.</w:t>
      </w:r>
    </w:p>
    <w:p w:rsidR="00685338" w:rsidRPr="002262F0" w:rsidRDefault="00685338" w:rsidP="00685338">
      <w:pPr>
        <w:numPr>
          <w:ilvl w:val="1"/>
          <w:numId w:val="17"/>
        </w:numPr>
        <w:spacing w:after="0" w:line="240" w:lineRule="auto"/>
        <w:jc w:val="both"/>
        <w:rPr>
          <w:rFonts w:ascii="Arial" w:hAnsi="Arial"/>
        </w:rPr>
      </w:pPr>
      <w:r w:rsidRPr="002262F0">
        <w:rPr>
          <w:rFonts w:ascii="Arial" w:hAnsi="Arial"/>
        </w:rPr>
        <w:t>Los subsidios, participaciones, aportaciones extraordinarias, de los Gobiernos Federal, Estatal y Municipal, de entidades públicas o privadas e internacionales.</w:t>
      </w:r>
    </w:p>
    <w:p w:rsidR="00685338" w:rsidRPr="002262F0" w:rsidRDefault="00685338" w:rsidP="00685338">
      <w:pPr>
        <w:numPr>
          <w:ilvl w:val="1"/>
          <w:numId w:val="17"/>
        </w:numPr>
        <w:spacing w:after="0" w:line="240" w:lineRule="auto"/>
        <w:jc w:val="both"/>
        <w:rPr>
          <w:rFonts w:ascii="Arial" w:hAnsi="Arial"/>
        </w:rPr>
      </w:pPr>
      <w:r w:rsidRPr="002262F0">
        <w:rPr>
          <w:rFonts w:ascii="Arial" w:hAnsi="Arial"/>
        </w:rPr>
        <w:t>Los ingresos que obtengan por la vía de prestación de servicios, estudios, gestiones, análisis de vialidad de los distintos proyectos que se sometan a su consideración, por su operación o seguimiento.</w:t>
      </w:r>
    </w:p>
    <w:p w:rsidR="00685338" w:rsidRPr="002262F0" w:rsidRDefault="00685338" w:rsidP="00685338">
      <w:pPr>
        <w:numPr>
          <w:ilvl w:val="1"/>
          <w:numId w:val="17"/>
        </w:numPr>
        <w:spacing w:after="0" w:line="240" w:lineRule="auto"/>
        <w:jc w:val="both"/>
        <w:rPr>
          <w:rFonts w:ascii="Arial" w:hAnsi="Arial"/>
        </w:rPr>
      </w:pPr>
      <w:r w:rsidRPr="002262F0">
        <w:rPr>
          <w:rFonts w:ascii="Arial" w:hAnsi="Arial"/>
        </w:rPr>
        <w:t>Las donaciones, legados y fideicomisos que se constituyan a su favor como fideicomisario y los que cree como fideicomitente.</w:t>
      </w:r>
    </w:p>
    <w:p w:rsidR="00685338" w:rsidRPr="002262F0" w:rsidRDefault="00685338" w:rsidP="00685338">
      <w:pPr>
        <w:numPr>
          <w:ilvl w:val="1"/>
          <w:numId w:val="17"/>
        </w:numPr>
        <w:spacing w:after="0" w:line="240" w:lineRule="auto"/>
        <w:jc w:val="both"/>
        <w:rPr>
          <w:rFonts w:ascii="Arial" w:hAnsi="Arial"/>
        </w:rPr>
      </w:pPr>
      <w:r w:rsidRPr="002262F0">
        <w:rPr>
          <w:rFonts w:ascii="Arial" w:hAnsi="Arial"/>
        </w:rPr>
        <w:t>Por los bienes muebles e inmuebles, valores con que cuente para el cumplimiento de sus fines y objetivos y, los que adquiera en el futuro.</w:t>
      </w:r>
    </w:p>
    <w:p w:rsidR="00685338" w:rsidRPr="005E2859" w:rsidRDefault="00685338" w:rsidP="00685338">
      <w:pPr>
        <w:jc w:val="both"/>
        <w:rPr>
          <w:rFonts w:ascii="Arial" w:hAnsi="Arial"/>
        </w:rPr>
      </w:pPr>
    </w:p>
    <w:tbl>
      <w:tblPr>
        <w:tblW w:w="10753" w:type="dxa"/>
        <w:tblInd w:w="-356" w:type="dxa"/>
        <w:tblLayout w:type="fixed"/>
        <w:tblCellMar>
          <w:left w:w="71" w:type="dxa"/>
          <w:right w:w="71" w:type="dxa"/>
        </w:tblCellMar>
        <w:tblLook w:val="0000" w:firstRow="0" w:lastRow="0" w:firstColumn="0" w:lastColumn="0" w:noHBand="0" w:noVBand="0"/>
      </w:tblPr>
      <w:tblGrid>
        <w:gridCol w:w="1418"/>
        <w:gridCol w:w="9335"/>
      </w:tblGrid>
      <w:tr w:rsidR="00685338" w:rsidRPr="005E2859" w:rsidTr="006A0C92">
        <w:tc>
          <w:tcPr>
            <w:tcW w:w="1418" w:type="dxa"/>
          </w:tcPr>
          <w:p w:rsidR="00685338" w:rsidRPr="005E2859" w:rsidRDefault="00685338" w:rsidP="005E4BEC">
            <w:pPr>
              <w:jc w:val="both"/>
              <w:rPr>
                <w:rFonts w:ascii="Arial" w:hAnsi="Arial"/>
                <w:b/>
              </w:rPr>
            </w:pPr>
            <w:r w:rsidRPr="005E2859">
              <w:rPr>
                <w:rFonts w:ascii="Arial" w:hAnsi="Arial"/>
                <w:b/>
              </w:rPr>
              <w:t xml:space="preserve">Nota </w:t>
            </w:r>
            <w:r w:rsidR="005E4BEC">
              <w:rPr>
                <w:rFonts w:ascii="Arial" w:hAnsi="Arial"/>
                <w:b/>
              </w:rPr>
              <w:t>5</w:t>
            </w:r>
            <w:r w:rsidRPr="005E2859">
              <w:rPr>
                <w:rFonts w:ascii="Arial" w:hAnsi="Arial"/>
                <w:b/>
              </w:rPr>
              <w:t>.-)</w:t>
            </w:r>
          </w:p>
        </w:tc>
        <w:tc>
          <w:tcPr>
            <w:tcW w:w="9335" w:type="dxa"/>
          </w:tcPr>
          <w:p w:rsidR="00685338" w:rsidRPr="005E2859" w:rsidRDefault="00685338" w:rsidP="006A0C92">
            <w:pPr>
              <w:jc w:val="both"/>
              <w:rPr>
                <w:rFonts w:ascii="Arial" w:hAnsi="Arial"/>
                <w:b/>
              </w:rPr>
            </w:pPr>
            <w:r w:rsidRPr="005E2859">
              <w:rPr>
                <w:rFonts w:ascii="Arial" w:hAnsi="Arial"/>
                <w:b/>
                <w:u w:val="single"/>
              </w:rPr>
              <w:t>Entorno Fiscal</w:t>
            </w:r>
          </w:p>
        </w:tc>
      </w:tr>
    </w:tbl>
    <w:p w:rsidR="00685338" w:rsidRDefault="00685338" w:rsidP="00F009C3">
      <w:pPr>
        <w:numPr>
          <w:ilvl w:val="0"/>
          <w:numId w:val="18"/>
        </w:numPr>
        <w:spacing w:after="0" w:line="240" w:lineRule="auto"/>
        <w:jc w:val="both"/>
        <w:rPr>
          <w:rFonts w:ascii="Arial" w:hAnsi="Arial"/>
        </w:rPr>
      </w:pPr>
      <w:r w:rsidRPr="004E02D7">
        <w:rPr>
          <w:rFonts w:ascii="Arial" w:hAnsi="Arial"/>
        </w:rPr>
        <w:t>La Entidad se encuentra clasificada dentro de las Personas Morales No Contribuyentes. Marcadas por la Ley del Impuesto Sobre la Renta vigente para el año 20</w:t>
      </w:r>
      <w:r w:rsidR="00D706D6">
        <w:rPr>
          <w:rFonts w:ascii="Arial" w:hAnsi="Arial"/>
        </w:rPr>
        <w:t>20</w:t>
      </w:r>
      <w:r w:rsidR="004E02D7">
        <w:rPr>
          <w:rFonts w:ascii="Arial" w:hAnsi="Arial"/>
        </w:rPr>
        <w:t>.</w:t>
      </w:r>
    </w:p>
    <w:p w:rsidR="004E02D7" w:rsidRPr="004E02D7" w:rsidRDefault="004E02D7" w:rsidP="004E02D7">
      <w:pPr>
        <w:spacing w:after="0" w:line="240" w:lineRule="auto"/>
        <w:ind w:left="340"/>
        <w:jc w:val="both"/>
        <w:rPr>
          <w:rFonts w:ascii="Arial" w:hAnsi="Arial"/>
        </w:rPr>
      </w:pPr>
    </w:p>
    <w:p w:rsidR="00685338" w:rsidRPr="005E2859" w:rsidRDefault="00685338" w:rsidP="00685338">
      <w:pPr>
        <w:numPr>
          <w:ilvl w:val="0"/>
          <w:numId w:val="18"/>
        </w:numPr>
        <w:spacing w:after="0" w:line="240" w:lineRule="auto"/>
        <w:jc w:val="both"/>
        <w:rPr>
          <w:rFonts w:ascii="Arial" w:hAnsi="Arial"/>
        </w:rPr>
      </w:pPr>
      <w:r w:rsidRPr="005E2859">
        <w:rPr>
          <w:rFonts w:ascii="Arial" w:hAnsi="Arial"/>
        </w:rPr>
        <w:t>El Organismo tiene la responsabilidad de retenciones fiscales de impuestos y cuotas de seguridad social y vivienda por la totalidad de las remuneraciones que paga.</w:t>
      </w:r>
    </w:p>
    <w:p w:rsidR="00685338" w:rsidRPr="005E2859" w:rsidRDefault="00685338" w:rsidP="00685338">
      <w:pPr>
        <w:jc w:val="both"/>
        <w:rPr>
          <w:rFonts w:ascii="Arial" w:hAnsi="Arial"/>
        </w:rPr>
      </w:pPr>
    </w:p>
    <w:p w:rsidR="00685338" w:rsidRPr="005E2859" w:rsidRDefault="00685338" w:rsidP="00685338">
      <w:pPr>
        <w:numPr>
          <w:ilvl w:val="0"/>
          <w:numId w:val="18"/>
        </w:numPr>
        <w:spacing w:after="0" w:line="240" w:lineRule="auto"/>
        <w:jc w:val="both"/>
        <w:rPr>
          <w:rFonts w:ascii="Arial" w:hAnsi="Arial"/>
        </w:rPr>
      </w:pPr>
      <w:r w:rsidRPr="005E2859">
        <w:rPr>
          <w:rFonts w:ascii="Arial" w:hAnsi="Arial"/>
        </w:rPr>
        <w:t xml:space="preserve">El Organismo es sujeto obligado del pago del impuesto sobre </w:t>
      </w:r>
      <w:r w:rsidR="005E4BEC" w:rsidRPr="005E2859">
        <w:rPr>
          <w:rFonts w:ascii="Arial" w:hAnsi="Arial"/>
        </w:rPr>
        <w:t>nómina</w:t>
      </w:r>
      <w:r w:rsidRPr="005E2859">
        <w:rPr>
          <w:rFonts w:ascii="Arial" w:hAnsi="Arial"/>
        </w:rPr>
        <w:t xml:space="preserve"> establecido en la Ley de Hacienda del Estado de Sinaloa.</w:t>
      </w:r>
    </w:p>
    <w:p w:rsidR="00685338" w:rsidRPr="005E2859" w:rsidRDefault="00685338" w:rsidP="00685338">
      <w:pPr>
        <w:jc w:val="both"/>
        <w:rPr>
          <w:rFonts w:ascii="Arial" w:hAnsi="Arial"/>
        </w:rPr>
      </w:pPr>
    </w:p>
    <w:p w:rsidR="00685338" w:rsidRPr="005E2859" w:rsidRDefault="00685338" w:rsidP="00685338">
      <w:pPr>
        <w:numPr>
          <w:ilvl w:val="0"/>
          <w:numId w:val="18"/>
        </w:numPr>
        <w:spacing w:after="0" w:line="240" w:lineRule="auto"/>
        <w:jc w:val="both"/>
        <w:rPr>
          <w:rFonts w:ascii="Arial" w:hAnsi="Arial"/>
        </w:rPr>
      </w:pPr>
      <w:r w:rsidRPr="005E2859">
        <w:rPr>
          <w:rFonts w:ascii="Arial" w:hAnsi="Arial"/>
        </w:rPr>
        <w:t xml:space="preserve">El Organismo tiene como patrón las obligaciones que la Ley Federal del Trabajo le impone en lo que se refiere a seguridad social y vivienda. Estas obligaciones las cumple el Organismo por medio del Instituto Mexicano del Seguro Social al cual </w:t>
      </w:r>
      <w:r w:rsidR="005E4BEC" w:rsidRPr="005E2859">
        <w:rPr>
          <w:rFonts w:ascii="Arial" w:hAnsi="Arial"/>
        </w:rPr>
        <w:t>está</w:t>
      </w:r>
      <w:r w:rsidRPr="005E2859">
        <w:rPr>
          <w:rFonts w:ascii="Arial" w:hAnsi="Arial"/>
        </w:rPr>
        <w:t xml:space="preserve"> inscrito como patrón. </w:t>
      </w:r>
    </w:p>
    <w:p w:rsidR="00685338" w:rsidRPr="005E2859" w:rsidRDefault="00685338" w:rsidP="00685338">
      <w:pPr>
        <w:jc w:val="both"/>
        <w:rPr>
          <w:rFonts w:ascii="Arial" w:hAnsi="Arial"/>
        </w:rPr>
      </w:pPr>
    </w:p>
    <w:p w:rsidR="00685338" w:rsidRDefault="00685338" w:rsidP="005A1755">
      <w:pPr>
        <w:jc w:val="both"/>
        <w:rPr>
          <w:rFonts w:ascii="Arial" w:hAnsi="Arial"/>
        </w:rPr>
      </w:pPr>
      <w:r w:rsidRPr="005E2859">
        <w:rPr>
          <w:rFonts w:ascii="Arial" w:hAnsi="Arial"/>
        </w:rPr>
        <w:t xml:space="preserve">Estas son las notas </w:t>
      </w:r>
      <w:r w:rsidR="00276170">
        <w:rPr>
          <w:rFonts w:ascii="Arial" w:hAnsi="Arial"/>
        </w:rPr>
        <w:t xml:space="preserve">de gestión </w:t>
      </w:r>
      <w:r w:rsidR="005E4BEC">
        <w:rPr>
          <w:rFonts w:ascii="Arial" w:hAnsi="Arial"/>
        </w:rPr>
        <w:t>administrativa</w:t>
      </w:r>
      <w:r w:rsidRPr="005E2859">
        <w:rPr>
          <w:rFonts w:ascii="Arial" w:hAnsi="Arial"/>
        </w:rPr>
        <w:t xml:space="preserve"> que se refieren los estados fi</w:t>
      </w:r>
      <w:r w:rsidR="005A1755">
        <w:rPr>
          <w:rFonts w:ascii="Arial" w:hAnsi="Arial"/>
        </w:rPr>
        <w:t xml:space="preserve">nancieros </w:t>
      </w:r>
      <w:r w:rsidRPr="005E2859">
        <w:rPr>
          <w:rFonts w:ascii="Arial" w:hAnsi="Arial"/>
        </w:rPr>
        <w:t>adjuntos.</w:t>
      </w:r>
    </w:p>
    <w:p w:rsidR="005A1755" w:rsidRDefault="005A1755" w:rsidP="005A1755">
      <w:pPr>
        <w:jc w:val="both"/>
        <w:rPr>
          <w:rFonts w:ascii="Arial" w:hAnsi="Arial"/>
        </w:rPr>
      </w:pPr>
      <w:r>
        <w:rPr>
          <w:rFonts w:ascii="Arial" w:hAnsi="Arial"/>
        </w:rPr>
        <w:t>“Bajo protesta de decir verdad, declaramos que los estados financieros y sus notas, son razonablemente correctos y son responsabilidad del emisor”</w:t>
      </w:r>
    </w:p>
    <w:p w:rsidR="000F3E3B" w:rsidRDefault="000F3E3B" w:rsidP="00685338">
      <w:pPr>
        <w:jc w:val="center"/>
        <w:rPr>
          <w:rFonts w:ascii="Arial" w:hAnsi="Arial"/>
        </w:rPr>
      </w:pPr>
    </w:p>
    <w:p w:rsidR="000F3E3B" w:rsidRPr="005E2859" w:rsidRDefault="000F3E3B" w:rsidP="00685338">
      <w:pPr>
        <w:jc w:val="center"/>
        <w:rPr>
          <w:rFonts w:ascii="Arial" w:hAnsi="Arial"/>
        </w:rPr>
      </w:pPr>
    </w:p>
    <w:tbl>
      <w:tblPr>
        <w:tblW w:w="9000" w:type="dxa"/>
        <w:tblCellMar>
          <w:left w:w="70" w:type="dxa"/>
          <w:right w:w="70" w:type="dxa"/>
        </w:tblCellMar>
        <w:tblLook w:val="04A0" w:firstRow="1" w:lastRow="0" w:firstColumn="1" w:lastColumn="0" w:noHBand="0" w:noVBand="1"/>
      </w:tblPr>
      <w:tblGrid>
        <w:gridCol w:w="9140"/>
      </w:tblGrid>
      <w:tr w:rsidR="005E4BEC" w:rsidRPr="005E4BEC" w:rsidTr="005E4BEC">
        <w:trPr>
          <w:trHeight w:val="285"/>
        </w:trPr>
        <w:tc>
          <w:tcPr>
            <w:tcW w:w="9000" w:type="dxa"/>
            <w:tcBorders>
              <w:top w:val="nil"/>
              <w:left w:val="nil"/>
              <w:bottom w:val="nil"/>
              <w:right w:val="nil"/>
            </w:tcBorders>
            <w:shd w:val="clear" w:color="000000" w:fill="FFFFFF"/>
            <w:noWrap/>
            <w:vAlign w:val="bottom"/>
            <w:hideMark/>
          </w:tcPr>
          <w:p w:rsidR="005E4BEC" w:rsidRPr="005E4BEC" w:rsidRDefault="005E4BEC" w:rsidP="005E4BEC">
            <w:pPr>
              <w:spacing w:after="0" w:line="240" w:lineRule="auto"/>
              <w:jc w:val="center"/>
              <w:rPr>
                <w:rFonts w:ascii="Arial" w:eastAsia="Times New Roman" w:hAnsi="Arial" w:cs="Arial"/>
                <w:color w:val="000000"/>
                <w:sz w:val="20"/>
                <w:szCs w:val="20"/>
                <w:lang w:eastAsia="es-MX"/>
              </w:rPr>
            </w:pPr>
            <w:r w:rsidRPr="005E4BEC">
              <w:rPr>
                <w:rFonts w:ascii="Arial" w:eastAsia="Times New Roman" w:hAnsi="Arial" w:cs="Arial"/>
                <w:color w:val="000000"/>
                <w:sz w:val="20"/>
                <w:szCs w:val="20"/>
                <w:lang w:eastAsia="es-MX"/>
              </w:rPr>
              <w:t>____________________________________________</w:t>
            </w:r>
          </w:p>
        </w:tc>
      </w:tr>
      <w:tr w:rsidR="005E4BEC" w:rsidRPr="001848C2" w:rsidTr="005E4BEC">
        <w:trPr>
          <w:trHeight w:val="285"/>
        </w:trPr>
        <w:tc>
          <w:tcPr>
            <w:tcW w:w="9000" w:type="dxa"/>
            <w:tcBorders>
              <w:top w:val="nil"/>
              <w:left w:val="nil"/>
              <w:bottom w:val="nil"/>
              <w:right w:val="nil"/>
            </w:tcBorders>
            <w:shd w:val="clear" w:color="000000" w:fill="FFFFFF"/>
            <w:noWrap/>
            <w:vAlign w:val="bottom"/>
            <w:hideMark/>
          </w:tcPr>
          <w:p w:rsidR="005E4BEC" w:rsidRPr="001848C2" w:rsidRDefault="00413894" w:rsidP="007740F3">
            <w:pPr>
              <w:spacing w:after="0" w:line="240" w:lineRule="auto"/>
              <w:jc w:val="center"/>
              <w:rPr>
                <w:rFonts w:ascii="Arial" w:hAnsi="Arial"/>
                <w:lang w:val="es-ES_tradnl"/>
              </w:rPr>
            </w:pPr>
            <w:r w:rsidRPr="001848C2">
              <w:rPr>
                <w:rFonts w:ascii="Arial" w:hAnsi="Arial"/>
                <w:lang w:val="es-ES_tradnl"/>
              </w:rPr>
              <w:t>L.</w:t>
            </w:r>
            <w:r w:rsidR="0013618D" w:rsidRPr="001848C2">
              <w:rPr>
                <w:rFonts w:ascii="Arial" w:hAnsi="Arial"/>
                <w:lang w:val="es-ES_tradnl"/>
              </w:rPr>
              <w:t>C.P.</w:t>
            </w:r>
            <w:r w:rsidR="001848C2" w:rsidRPr="001848C2">
              <w:rPr>
                <w:rFonts w:ascii="Arial" w:hAnsi="Arial"/>
                <w:lang w:val="es-ES_tradnl"/>
              </w:rPr>
              <w:t xml:space="preserve"> Jesus alfonso Ceballos Madueña</w:t>
            </w:r>
          </w:p>
        </w:tc>
      </w:tr>
      <w:tr w:rsidR="005E4BEC" w:rsidRPr="005E4BEC" w:rsidTr="005E4BEC">
        <w:trPr>
          <w:trHeight w:val="285"/>
        </w:trPr>
        <w:tc>
          <w:tcPr>
            <w:tcW w:w="9000" w:type="dxa"/>
            <w:tcBorders>
              <w:top w:val="nil"/>
              <w:left w:val="nil"/>
              <w:bottom w:val="nil"/>
              <w:right w:val="nil"/>
            </w:tcBorders>
            <w:shd w:val="clear" w:color="000000" w:fill="FFFFFF"/>
            <w:hideMark/>
          </w:tcPr>
          <w:p w:rsidR="005E4BEC" w:rsidRPr="002406CF" w:rsidRDefault="001848C2" w:rsidP="005E4BEC">
            <w:pPr>
              <w:spacing w:after="0" w:line="240" w:lineRule="auto"/>
              <w:jc w:val="center"/>
              <w:rPr>
                <w:rFonts w:ascii="Arial" w:hAnsi="Arial"/>
              </w:rPr>
            </w:pPr>
            <w:r>
              <w:rPr>
                <w:rFonts w:ascii="Arial" w:hAnsi="Arial"/>
              </w:rPr>
              <w:t>Dir. de Administración y Finanzas</w:t>
            </w:r>
          </w:p>
        </w:tc>
      </w:tr>
      <w:tr w:rsidR="005E4BEC" w:rsidRPr="005E4BEC" w:rsidTr="005E4BEC">
        <w:trPr>
          <w:trHeight w:val="285"/>
        </w:trPr>
        <w:tc>
          <w:tcPr>
            <w:tcW w:w="9000" w:type="dxa"/>
            <w:tcBorders>
              <w:top w:val="nil"/>
              <w:left w:val="nil"/>
              <w:bottom w:val="nil"/>
              <w:right w:val="nil"/>
            </w:tcBorders>
            <w:shd w:val="clear" w:color="000000" w:fill="FFFFFF"/>
            <w:noWrap/>
            <w:vAlign w:val="bottom"/>
            <w:hideMark/>
          </w:tcPr>
          <w:p w:rsidR="005E4BEC" w:rsidRPr="005E4BEC" w:rsidRDefault="005E4BEC" w:rsidP="00EC68F6">
            <w:pPr>
              <w:spacing w:after="0" w:line="240" w:lineRule="auto"/>
              <w:rPr>
                <w:rFonts w:ascii="Arial" w:eastAsia="Times New Roman" w:hAnsi="Arial" w:cs="Arial"/>
                <w:color w:val="000000"/>
                <w:sz w:val="20"/>
                <w:szCs w:val="20"/>
                <w:lang w:eastAsia="es-MX"/>
              </w:rPr>
            </w:pPr>
          </w:p>
        </w:tc>
      </w:tr>
      <w:tr w:rsidR="005E4BEC" w:rsidRPr="005E4BEC" w:rsidTr="005E4BEC">
        <w:trPr>
          <w:trHeight w:val="285"/>
        </w:trPr>
        <w:tc>
          <w:tcPr>
            <w:tcW w:w="9000" w:type="dxa"/>
            <w:tcBorders>
              <w:top w:val="nil"/>
              <w:left w:val="nil"/>
              <w:bottom w:val="nil"/>
              <w:right w:val="nil"/>
            </w:tcBorders>
            <w:shd w:val="clear" w:color="000000" w:fill="FFFFFF"/>
            <w:noWrap/>
            <w:vAlign w:val="bottom"/>
            <w:hideMark/>
          </w:tcPr>
          <w:p w:rsidR="005E4BEC" w:rsidRPr="005E4BEC" w:rsidRDefault="005E4BEC" w:rsidP="005E4BEC">
            <w:pPr>
              <w:spacing w:after="0" w:line="240" w:lineRule="auto"/>
              <w:jc w:val="center"/>
              <w:rPr>
                <w:rFonts w:ascii="Arial" w:eastAsia="Times New Roman" w:hAnsi="Arial" w:cs="Arial"/>
                <w:color w:val="000000"/>
                <w:sz w:val="20"/>
                <w:szCs w:val="20"/>
                <w:lang w:eastAsia="es-MX"/>
              </w:rPr>
            </w:pPr>
          </w:p>
        </w:tc>
      </w:tr>
      <w:tr w:rsidR="005E4BEC" w:rsidRPr="005E4BEC" w:rsidTr="005E4BEC">
        <w:trPr>
          <w:trHeight w:val="285"/>
        </w:trPr>
        <w:tc>
          <w:tcPr>
            <w:tcW w:w="9000" w:type="dxa"/>
            <w:tcBorders>
              <w:top w:val="nil"/>
              <w:left w:val="nil"/>
              <w:bottom w:val="nil"/>
              <w:right w:val="nil"/>
            </w:tcBorders>
            <w:shd w:val="clear" w:color="000000" w:fill="FFFFFF"/>
            <w:noWrap/>
            <w:vAlign w:val="bottom"/>
            <w:hideMark/>
          </w:tcPr>
          <w:p w:rsidR="005E4BEC" w:rsidRPr="005E4BEC" w:rsidRDefault="005E4BEC" w:rsidP="005E4BEC">
            <w:pPr>
              <w:spacing w:after="0" w:line="240" w:lineRule="auto"/>
              <w:jc w:val="center"/>
              <w:rPr>
                <w:rFonts w:ascii="Arial" w:eastAsia="Times New Roman" w:hAnsi="Arial" w:cs="Arial"/>
                <w:color w:val="000000"/>
                <w:sz w:val="20"/>
                <w:szCs w:val="20"/>
                <w:lang w:eastAsia="es-MX"/>
              </w:rPr>
            </w:pPr>
          </w:p>
        </w:tc>
      </w:tr>
      <w:tr w:rsidR="007F1B5D" w:rsidRPr="005E4BEC" w:rsidTr="007F1B5D">
        <w:trPr>
          <w:trHeight w:val="285"/>
        </w:trPr>
        <w:tc>
          <w:tcPr>
            <w:tcW w:w="9000" w:type="dxa"/>
            <w:tcBorders>
              <w:top w:val="nil"/>
              <w:left w:val="nil"/>
              <w:bottom w:val="nil"/>
              <w:right w:val="nil"/>
            </w:tcBorders>
            <w:shd w:val="clear" w:color="000000" w:fill="FFFFFF"/>
            <w:noWrap/>
            <w:vAlign w:val="bottom"/>
          </w:tcPr>
          <w:p w:rsidR="007F1B5D" w:rsidRPr="005E4BEC" w:rsidRDefault="007F1B5D" w:rsidP="007F1B5D">
            <w:pPr>
              <w:spacing w:after="0" w:line="240" w:lineRule="auto"/>
              <w:jc w:val="center"/>
              <w:rPr>
                <w:rFonts w:ascii="Arial" w:eastAsia="Times New Roman" w:hAnsi="Arial" w:cs="Arial"/>
                <w:color w:val="000000"/>
                <w:sz w:val="20"/>
                <w:szCs w:val="20"/>
                <w:lang w:eastAsia="es-MX"/>
              </w:rPr>
            </w:pPr>
          </w:p>
        </w:tc>
      </w:tr>
      <w:tr w:rsidR="007F1B5D" w:rsidRPr="005E4BEC" w:rsidTr="007F1B5D">
        <w:trPr>
          <w:trHeight w:val="285"/>
        </w:trPr>
        <w:tc>
          <w:tcPr>
            <w:tcW w:w="9000" w:type="dxa"/>
            <w:tcBorders>
              <w:top w:val="nil"/>
              <w:left w:val="nil"/>
              <w:bottom w:val="nil"/>
              <w:right w:val="nil"/>
            </w:tcBorders>
            <w:shd w:val="clear" w:color="000000" w:fill="FFFFFF"/>
            <w:noWrap/>
            <w:vAlign w:val="bottom"/>
          </w:tcPr>
          <w:p w:rsidR="007F1B5D" w:rsidRPr="002406CF" w:rsidRDefault="007F1B5D" w:rsidP="007F1B5D">
            <w:pPr>
              <w:spacing w:after="0" w:line="240" w:lineRule="auto"/>
              <w:jc w:val="center"/>
              <w:rPr>
                <w:rFonts w:ascii="Arial" w:hAnsi="Arial"/>
              </w:rPr>
            </w:pPr>
          </w:p>
        </w:tc>
      </w:tr>
      <w:tr w:rsidR="007F1B5D" w:rsidRPr="005E4BEC" w:rsidTr="00833831">
        <w:trPr>
          <w:trHeight w:val="285"/>
        </w:trPr>
        <w:tc>
          <w:tcPr>
            <w:tcW w:w="9000" w:type="dxa"/>
            <w:tcBorders>
              <w:top w:val="nil"/>
              <w:left w:val="nil"/>
              <w:bottom w:val="nil"/>
              <w:right w:val="nil"/>
            </w:tcBorders>
            <w:shd w:val="clear" w:color="000000" w:fill="FFFFFF"/>
            <w:vAlign w:val="bottom"/>
            <w:hideMark/>
          </w:tcPr>
          <w:p w:rsidR="007F1B5D" w:rsidRPr="005E4BEC" w:rsidRDefault="007F1B5D" w:rsidP="007F1B5D">
            <w:pPr>
              <w:spacing w:after="0" w:line="240" w:lineRule="auto"/>
              <w:jc w:val="center"/>
              <w:rPr>
                <w:rFonts w:ascii="Arial" w:eastAsia="Times New Roman" w:hAnsi="Arial" w:cs="Arial"/>
                <w:color w:val="000000"/>
                <w:sz w:val="20"/>
                <w:szCs w:val="20"/>
                <w:lang w:eastAsia="es-MX"/>
              </w:rPr>
            </w:pPr>
            <w:r w:rsidRPr="005E4BEC">
              <w:rPr>
                <w:rFonts w:ascii="Arial" w:eastAsia="Times New Roman" w:hAnsi="Arial" w:cs="Arial"/>
                <w:color w:val="000000"/>
                <w:sz w:val="20"/>
                <w:szCs w:val="20"/>
                <w:lang w:eastAsia="es-MX"/>
              </w:rPr>
              <w:t>____________________________________________</w:t>
            </w:r>
          </w:p>
        </w:tc>
      </w:tr>
      <w:tr w:rsidR="007F1B5D" w:rsidRPr="005E4BEC" w:rsidTr="00833831">
        <w:trPr>
          <w:trHeight w:val="285"/>
        </w:trPr>
        <w:tc>
          <w:tcPr>
            <w:tcW w:w="9000" w:type="dxa"/>
            <w:tcBorders>
              <w:top w:val="nil"/>
              <w:left w:val="nil"/>
              <w:bottom w:val="nil"/>
              <w:right w:val="nil"/>
            </w:tcBorders>
            <w:shd w:val="clear" w:color="000000" w:fill="FFFFFF"/>
            <w:vAlign w:val="bottom"/>
          </w:tcPr>
          <w:tbl>
            <w:tblPr>
              <w:tblW w:w="9000" w:type="dxa"/>
              <w:tblCellMar>
                <w:left w:w="70" w:type="dxa"/>
                <w:right w:w="70" w:type="dxa"/>
              </w:tblCellMar>
              <w:tblLook w:val="04A0" w:firstRow="1" w:lastRow="0" w:firstColumn="1" w:lastColumn="0" w:noHBand="0" w:noVBand="1"/>
            </w:tblPr>
            <w:tblGrid>
              <w:gridCol w:w="9000"/>
            </w:tblGrid>
            <w:tr w:rsidR="0013618D" w:rsidRPr="002406CF" w:rsidTr="00DC5CAA">
              <w:trPr>
                <w:trHeight w:val="285"/>
              </w:trPr>
              <w:tc>
                <w:tcPr>
                  <w:tcW w:w="9000" w:type="dxa"/>
                  <w:tcBorders>
                    <w:top w:val="nil"/>
                    <w:left w:val="nil"/>
                    <w:bottom w:val="nil"/>
                    <w:right w:val="nil"/>
                  </w:tcBorders>
                  <w:shd w:val="clear" w:color="000000" w:fill="FFFFFF"/>
                  <w:noWrap/>
                  <w:vAlign w:val="bottom"/>
                  <w:hideMark/>
                </w:tcPr>
                <w:p w:rsidR="0013618D" w:rsidRPr="002406CF" w:rsidRDefault="00E342BD" w:rsidP="0013618D">
                  <w:pPr>
                    <w:spacing w:after="0" w:line="240" w:lineRule="auto"/>
                    <w:jc w:val="center"/>
                    <w:rPr>
                      <w:rFonts w:ascii="Arial" w:hAnsi="Arial"/>
                    </w:rPr>
                  </w:pPr>
                  <w:r>
                    <w:rPr>
                      <w:rFonts w:ascii="Arial" w:hAnsi="Arial"/>
                    </w:rPr>
                    <w:t>Lic. Thania Karina Parra y Parra</w:t>
                  </w:r>
                </w:p>
              </w:tc>
            </w:tr>
            <w:tr w:rsidR="0013618D" w:rsidRPr="002406CF" w:rsidTr="00DC5CAA">
              <w:trPr>
                <w:trHeight w:val="285"/>
              </w:trPr>
              <w:tc>
                <w:tcPr>
                  <w:tcW w:w="9000" w:type="dxa"/>
                  <w:tcBorders>
                    <w:top w:val="nil"/>
                    <w:left w:val="nil"/>
                    <w:bottom w:val="nil"/>
                    <w:right w:val="nil"/>
                  </w:tcBorders>
                  <w:shd w:val="clear" w:color="000000" w:fill="FFFFFF"/>
                  <w:hideMark/>
                </w:tcPr>
                <w:p w:rsidR="0013618D" w:rsidRPr="002406CF" w:rsidRDefault="0013618D" w:rsidP="0013618D">
                  <w:pPr>
                    <w:spacing w:after="0" w:line="240" w:lineRule="auto"/>
                    <w:jc w:val="center"/>
                    <w:rPr>
                      <w:rFonts w:ascii="Arial" w:hAnsi="Arial"/>
                    </w:rPr>
                  </w:pPr>
                  <w:r w:rsidRPr="002406CF">
                    <w:rPr>
                      <w:rFonts w:ascii="Arial" w:hAnsi="Arial"/>
                    </w:rPr>
                    <w:t>Director</w:t>
                  </w:r>
                  <w:r w:rsidR="00E342BD">
                    <w:rPr>
                      <w:rFonts w:ascii="Arial" w:hAnsi="Arial"/>
                    </w:rPr>
                    <w:t>a</w:t>
                  </w:r>
                  <w:r w:rsidRPr="002406CF">
                    <w:rPr>
                      <w:rFonts w:ascii="Arial" w:hAnsi="Arial"/>
                    </w:rPr>
                    <w:t xml:space="preserve"> General</w:t>
                  </w:r>
                </w:p>
              </w:tc>
            </w:tr>
          </w:tbl>
          <w:p w:rsidR="007F1B5D" w:rsidRPr="002406CF" w:rsidRDefault="007F1B5D" w:rsidP="007F1B5D">
            <w:pPr>
              <w:spacing w:after="0" w:line="240" w:lineRule="auto"/>
              <w:jc w:val="center"/>
              <w:rPr>
                <w:rFonts w:ascii="Arial" w:hAnsi="Arial"/>
              </w:rPr>
            </w:pPr>
          </w:p>
        </w:tc>
      </w:tr>
    </w:tbl>
    <w:p w:rsidR="00EC68F6" w:rsidRDefault="00EC68F6"/>
    <w:sectPr w:rsidR="00EC68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Gandhi Sans">
    <w:panose1 w:val="02000000000000000000"/>
    <w:charset w:val="00"/>
    <w:family w:val="modern"/>
    <w:notTrueType/>
    <w:pitch w:val="variable"/>
    <w:sig w:usb0="800000AF" w:usb1="5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BD15059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7FE6"/>
    <w:multiLevelType w:val="hybridMultilevel"/>
    <w:tmpl w:val="324868E6"/>
    <w:lvl w:ilvl="0" w:tplc="4D5AE852">
      <w:start w:val="1"/>
      <w:numFmt w:val="bullet"/>
      <w:lvlText w:val=""/>
      <w:lvlPicBulletId w:val="0"/>
      <w:lvlJc w:val="left"/>
      <w:pPr>
        <w:tabs>
          <w:tab w:val="num" w:pos="720"/>
        </w:tabs>
        <w:ind w:left="720" w:hanging="360"/>
      </w:pPr>
      <w:rPr>
        <w:rFonts w:ascii="Symbol" w:hAnsi="Symbol" w:hint="default"/>
        <w:color w:val="auto"/>
      </w:rPr>
    </w:lvl>
    <w:lvl w:ilvl="1" w:tplc="AAFC128C">
      <w:start w:val="2"/>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70774"/>
    <w:multiLevelType w:val="hybridMultilevel"/>
    <w:tmpl w:val="1C02E526"/>
    <w:lvl w:ilvl="0" w:tplc="0C0A0013">
      <w:start w:val="1"/>
      <w:numFmt w:val="upperRoman"/>
      <w:lvlText w:val="%1."/>
      <w:lvlJc w:val="right"/>
      <w:pPr>
        <w:tabs>
          <w:tab w:val="num" w:pos="720"/>
        </w:tabs>
        <w:ind w:left="720" w:hanging="18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06362CC"/>
    <w:multiLevelType w:val="hybridMultilevel"/>
    <w:tmpl w:val="042A3CA8"/>
    <w:lvl w:ilvl="0" w:tplc="4D5AE852">
      <w:start w:val="1"/>
      <w:numFmt w:val="bullet"/>
      <w:lvlText w:val=""/>
      <w:lvlPicBulletId w:val="0"/>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40EEA"/>
    <w:multiLevelType w:val="singleLevel"/>
    <w:tmpl w:val="A45040F0"/>
    <w:lvl w:ilvl="0">
      <w:start w:val="1"/>
      <w:numFmt w:val="lowerLetter"/>
      <w:lvlText w:val="%1.-)"/>
      <w:legacy w:legacy="1" w:legacySpace="0" w:legacyIndent="567"/>
      <w:lvlJc w:val="left"/>
      <w:pPr>
        <w:ind w:left="567" w:hanging="567"/>
      </w:pPr>
    </w:lvl>
  </w:abstractNum>
  <w:abstractNum w:abstractNumId="5" w15:restartNumberingAfterBreak="0">
    <w:nsid w:val="22BB1F1F"/>
    <w:multiLevelType w:val="hybridMultilevel"/>
    <w:tmpl w:val="9C6ED382"/>
    <w:lvl w:ilvl="0" w:tplc="4D5AE852">
      <w:start w:val="1"/>
      <w:numFmt w:val="bullet"/>
      <w:lvlText w:val=""/>
      <w:lvlPicBulletId w:val="0"/>
      <w:lvlJc w:val="left"/>
      <w:pPr>
        <w:tabs>
          <w:tab w:val="num" w:pos="927"/>
        </w:tabs>
        <w:ind w:left="927" w:hanging="360"/>
      </w:pPr>
      <w:rPr>
        <w:rFonts w:ascii="Symbol" w:hAnsi="Symbol" w:hint="default"/>
        <w:color w:val="auto"/>
      </w:rPr>
    </w:lvl>
    <w:lvl w:ilvl="1" w:tplc="0C0A0003">
      <w:start w:val="1"/>
      <w:numFmt w:val="bullet"/>
      <w:lvlText w:val="o"/>
      <w:lvlJc w:val="left"/>
      <w:pPr>
        <w:tabs>
          <w:tab w:val="num" w:pos="1647"/>
        </w:tabs>
        <w:ind w:left="1647" w:hanging="360"/>
      </w:pPr>
      <w:rPr>
        <w:rFonts w:ascii="Courier New" w:hAnsi="Courier New" w:cs="Courier New" w:hint="default"/>
      </w:rPr>
    </w:lvl>
    <w:lvl w:ilvl="2" w:tplc="D71A9FE8">
      <w:start w:val="12"/>
      <w:numFmt w:val="bullet"/>
      <w:lvlText w:val="﷐"/>
      <w:lvlJc w:val="left"/>
      <w:pPr>
        <w:ind w:left="2367" w:hanging="360"/>
      </w:pPr>
      <w:rPr>
        <w:rFonts w:ascii="Arial" w:eastAsia="Times New Roman" w:hAnsi="Arial" w:cs="Arial"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6F13517"/>
    <w:multiLevelType w:val="hybridMultilevel"/>
    <w:tmpl w:val="1F6CD822"/>
    <w:lvl w:ilvl="0" w:tplc="82069ED0">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2E91287B"/>
    <w:multiLevelType w:val="hybridMultilevel"/>
    <w:tmpl w:val="5E763C2C"/>
    <w:lvl w:ilvl="0" w:tplc="4D5AE852">
      <w:start w:val="1"/>
      <w:numFmt w:val="bullet"/>
      <w:lvlText w:val=""/>
      <w:lvlPicBulletId w:val="0"/>
      <w:lvlJc w:val="left"/>
      <w:pPr>
        <w:tabs>
          <w:tab w:val="num" w:pos="1003"/>
        </w:tabs>
        <w:ind w:left="1003" w:hanging="360"/>
      </w:pPr>
      <w:rPr>
        <w:rFonts w:ascii="Symbol" w:hAnsi="Symbol" w:hint="default"/>
        <w:color w:val="auto"/>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300565B0"/>
    <w:multiLevelType w:val="multilevel"/>
    <w:tmpl w:val="D0F628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A033A11"/>
    <w:multiLevelType w:val="hybridMultilevel"/>
    <w:tmpl w:val="BAB6859E"/>
    <w:lvl w:ilvl="0" w:tplc="4D5AE852">
      <w:start w:val="1"/>
      <w:numFmt w:val="bullet"/>
      <w:lvlText w:val=""/>
      <w:lvlPicBulletId w:val="0"/>
      <w:lvlJc w:val="left"/>
      <w:pPr>
        <w:tabs>
          <w:tab w:val="num" w:pos="643"/>
        </w:tabs>
        <w:ind w:left="643" w:hanging="360"/>
      </w:pPr>
      <w:rPr>
        <w:rFonts w:ascii="Symbol" w:hAnsi="Symbol" w:hint="default"/>
        <w:color w:val="auto"/>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3C9619D7"/>
    <w:multiLevelType w:val="hybridMultilevel"/>
    <w:tmpl w:val="9C44626A"/>
    <w:lvl w:ilvl="0" w:tplc="13F26F40">
      <w:start w:val="1"/>
      <w:numFmt w:val="decimal"/>
      <w:lvlText w:val="%1."/>
      <w:lvlJc w:val="left"/>
      <w:pPr>
        <w:tabs>
          <w:tab w:val="num" w:pos="720"/>
        </w:tabs>
        <w:ind w:left="720" w:hanging="360"/>
      </w:pPr>
      <w:rPr>
        <w:rFonts w:cs="Times New Roman"/>
        <w:strike w:val="0"/>
      </w:rPr>
    </w:lvl>
    <w:lvl w:ilvl="1" w:tplc="0C0A0001">
      <w:start w:val="1"/>
      <w:numFmt w:val="bullet"/>
      <w:lvlText w:val=""/>
      <w:lvlJc w:val="left"/>
      <w:pPr>
        <w:tabs>
          <w:tab w:val="num" w:pos="1440"/>
        </w:tabs>
        <w:ind w:left="1440" w:hanging="360"/>
      </w:pPr>
      <w:rPr>
        <w:rFonts w:ascii="Symbol" w:hAnsi="Symbol" w:hint="default"/>
        <w:strike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07439B"/>
    <w:multiLevelType w:val="singleLevel"/>
    <w:tmpl w:val="818C60AC"/>
    <w:lvl w:ilvl="0">
      <w:start w:val="1"/>
      <w:numFmt w:val="lowerLetter"/>
      <w:lvlText w:val="%1.-)"/>
      <w:legacy w:legacy="1" w:legacySpace="0" w:legacyIndent="284"/>
      <w:lvlJc w:val="left"/>
      <w:pPr>
        <w:ind w:left="284" w:hanging="284"/>
      </w:pPr>
    </w:lvl>
  </w:abstractNum>
  <w:abstractNum w:abstractNumId="12" w15:restartNumberingAfterBreak="0">
    <w:nsid w:val="47781CB8"/>
    <w:multiLevelType w:val="hybridMultilevel"/>
    <w:tmpl w:val="D4706C96"/>
    <w:lvl w:ilvl="0" w:tplc="102020CC">
      <w:start w:val="1"/>
      <w:numFmt w:val="lowerLetter"/>
      <w:lvlText w:val="%1)"/>
      <w:lvlJc w:val="left"/>
      <w:pPr>
        <w:tabs>
          <w:tab w:val="num" w:pos="360"/>
        </w:tabs>
        <w:ind w:left="340" w:hanging="34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49E351C5"/>
    <w:multiLevelType w:val="hybridMultilevel"/>
    <w:tmpl w:val="50B6D93E"/>
    <w:lvl w:ilvl="0" w:tplc="4D5AE852">
      <w:start w:val="1"/>
      <w:numFmt w:val="bullet"/>
      <w:lvlText w:val=""/>
      <w:lvlPicBulletId w:val="0"/>
      <w:lvlJc w:val="left"/>
      <w:pPr>
        <w:tabs>
          <w:tab w:val="num" w:pos="643"/>
        </w:tabs>
        <w:ind w:left="643" w:hanging="360"/>
      </w:pPr>
      <w:rPr>
        <w:rFonts w:ascii="Symbol" w:hAnsi="Symbol" w:hint="default"/>
        <w:color w:val="auto"/>
      </w:rPr>
    </w:lvl>
    <w:lvl w:ilvl="1" w:tplc="0C0A0003" w:tentative="1">
      <w:start w:val="1"/>
      <w:numFmt w:val="bullet"/>
      <w:lvlText w:val="o"/>
      <w:lvlJc w:val="left"/>
      <w:pPr>
        <w:tabs>
          <w:tab w:val="num" w:pos="1363"/>
        </w:tabs>
        <w:ind w:left="1363" w:hanging="360"/>
      </w:pPr>
      <w:rPr>
        <w:rFonts w:ascii="Courier New" w:hAnsi="Courier New" w:cs="Courier New" w:hint="default"/>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cs="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cs="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abstractNum w:abstractNumId="14" w15:restartNumberingAfterBreak="0">
    <w:nsid w:val="4D2E3363"/>
    <w:multiLevelType w:val="hybridMultilevel"/>
    <w:tmpl w:val="0E3EDC5A"/>
    <w:lvl w:ilvl="0" w:tplc="EC76F5EC">
      <w:start w:val="1"/>
      <w:numFmt w:val="upperRoman"/>
      <w:lvlText w:val="%1."/>
      <w:lvlJc w:val="left"/>
      <w:pPr>
        <w:tabs>
          <w:tab w:val="num" w:pos="1287"/>
        </w:tabs>
        <w:ind w:left="1287" w:hanging="72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5" w15:restartNumberingAfterBreak="0">
    <w:nsid w:val="54F91997"/>
    <w:multiLevelType w:val="hybridMultilevel"/>
    <w:tmpl w:val="B9A8E8FA"/>
    <w:lvl w:ilvl="0" w:tplc="7BDADE7C">
      <w:start w:val="6"/>
      <w:numFmt w:val="bullet"/>
      <w:lvlText w:val="-"/>
      <w:lvlJc w:val="left"/>
      <w:pPr>
        <w:tabs>
          <w:tab w:val="num" w:pos="359"/>
        </w:tabs>
        <w:ind w:left="359" w:hanging="360"/>
      </w:pPr>
      <w:rPr>
        <w:rFonts w:ascii="Arial" w:eastAsia="Times New Roman" w:hAnsi="Arial" w:cs="Arial"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1A83009"/>
    <w:multiLevelType w:val="hybridMultilevel"/>
    <w:tmpl w:val="C1D81FA2"/>
    <w:lvl w:ilvl="0" w:tplc="4D5AE852">
      <w:start w:val="1"/>
      <w:numFmt w:val="bullet"/>
      <w:lvlText w:val=""/>
      <w:lvlPicBulletId w:val="0"/>
      <w:lvlJc w:val="left"/>
      <w:pPr>
        <w:tabs>
          <w:tab w:val="num" w:pos="927"/>
        </w:tabs>
        <w:ind w:left="927" w:hanging="360"/>
      </w:pPr>
      <w:rPr>
        <w:rFonts w:ascii="Symbol" w:hAnsi="Symbol" w:hint="default"/>
        <w:color w:val="auto"/>
      </w:rPr>
    </w:lvl>
    <w:lvl w:ilvl="1" w:tplc="099CEFA0">
      <w:start w:val="8"/>
      <w:numFmt w:val="decimal"/>
      <w:lvlText w:val="%2)"/>
      <w:lvlJc w:val="left"/>
      <w:pPr>
        <w:tabs>
          <w:tab w:val="num" w:pos="2007"/>
        </w:tabs>
        <w:ind w:left="2007" w:hanging="720"/>
      </w:pPr>
      <w:rPr>
        <w:rFonts w:hint="default"/>
      </w:r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7" w15:restartNumberingAfterBreak="0">
    <w:nsid w:val="66C44422"/>
    <w:multiLevelType w:val="hybridMultilevel"/>
    <w:tmpl w:val="26CE2DD0"/>
    <w:lvl w:ilvl="0" w:tplc="0C0A0013">
      <w:start w:val="1"/>
      <w:numFmt w:val="upperRoman"/>
      <w:lvlText w:val="%1."/>
      <w:lvlJc w:val="right"/>
      <w:pPr>
        <w:tabs>
          <w:tab w:val="num" w:pos="1260"/>
        </w:tabs>
        <w:ind w:left="1260" w:hanging="18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675C115C"/>
    <w:multiLevelType w:val="multilevel"/>
    <w:tmpl w:val="B9A8E8FA"/>
    <w:lvl w:ilvl="0">
      <w:start w:val="6"/>
      <w:numFmt w:val="bullet"/>
      <w:lvlText w:val="-"/>
      <w:lvlJc w:val="left"/>
      <w:pPr>
        <w:tabs>
          <w:tab w:val="num" w:pos="359"/>
        </w:tabs>
        <w:ind w:left="359" w:hanging="360"/>
      </w:pPr>
      <w:rPr>
        <w:rFonts w:ascii="Arial" w:eastAsia="Times New Roman" w:hAnsi="Arial" w:cs="Arial"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6B491910"/>
    <w:multiLevelType w:val="hybridMultilevel"/>
    <w:tmpl w:val="7E5E6556"/>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3FB3BE9"/>
    <w:multiLevelType w:val="hybridMultilevel"/>
    <w:tmpl w:val="0114CC7A"/>
    <w:lvl w:ilvl="0" w:tplc="4D5AE852">
      <w:start w:val="1"/>
      <w:numFmt w:val="bullet"/>
      <w:lvlText w:val=""/>
      <w:lvlPicBulletId w:val="0"/>
      <w:lvlJc w:val="left"/>
      <w:pPr>
        <w:tabs>
          <w:tab w:val="num" w:pos="643"/>
        </w:tabs>
        <w:ind w:left="643" w:hanging="360"/>
      </w:pPr>
      <w:rPr>
        <w:rFonts w:ascii="Symbol" w:hAnsi="Symbol" w:hint="default"/>
        <w:color w:val="auto"/>
      </w:rPr>
    </w:lvl>
    <w:lvl w:ilvl="1" w:tplc="0C0A000F">
      <w:start w:val="1"/>
      <w:numFmt w:val="decimal"/>
      <w:lvlText w:val="%2."/>
      <w:lvlJc w:val="left"/>
      <w:pPr>
        <w:tabs>
          <w:tab w:val="num" w:pos="1363"/>
        </w:tabs>
        <w:ind w:left="1363" w:hanging="360"/>
      </w:pPr>
      <w:rPr>
        <w:rFonts w:hint="default"/>
        <w:color w:val="auto"/>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cs="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cs="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abstractNum w:abstractNumId="21" w15:restartNumberingAfterBreak="0">
    <w:nsid w:val="795E57E4"/>
    <w:multiLevelType w:val="hybridMultilevel"/>
    <w:tmpl w:val="3F4E178E"/>
    <w:lvl w:ilvl="0" w:tplc="EFEA8C44">
      <w:start w:val="1"/>
      <w:numFmt w:val="bullet"/>
      <w:lvlText w:val=""/>
      <w:lvlPicBulletId w:val="0"/>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5C61C1"/>
    <w:multiLevelType w:val="hybridMultilevel"/>
    <w:tmpl w:val="F7DE9182"/>
    <w:lvl w:ilvl="0" w:tplc="7BDADE7C">
      <w:start w:val="6"/>
      <w:numFmt w:val="bullet"/>
      <w:lvlText w:val="-"/>
      <w:lvlJc w:val="left"/>
      <w:pPr>
        <w:tabs>
          <w:tab w:val="num" w:pos="643"/>
        </w:tabs>
        <w:ind w:left="643" w:hanging="360"/>
      </w:pPr>
      <w:rPr>
        <w:rFonts w:ascii="Arial" w:eastAsia="Times New Roman" w:hAnsi="Arial" w:cs="Arial" w:hint="default"/>
      </w:rPr>
    </w:lvl>
    <w:lvl w:ilvl="1" w:tplc="0C0A0003" w:tentative="1">
      <w:start w:val="1"/>
      <w:numFmt w:val="bullet"/>
      <w:lvlText w:val="o"/>
      <w:lvlJc w:val="left"/>
      <w:pPr>
        <w:tabs>
          <w:tab w:val="num" w:pos="1363"/>
        </w:tabs>
        <w:ind w:left="1363" w:hanging="360"/>
      </w:pPr>
      <w:rPr>
        <w:rFonts w:ascii="Courier New" w:hAnsi="Courier New" w:cs="Courier New" w:hint="default"/>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cs="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cs="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7F9415EC"/>
    <w:multiLevelType w:val="singleLevel"/>
    <w:tmpl w:val="68701700"/>
    <w:lvl w:ilvl="0">
      <w:start w:val="3"/>
      <w:numFmt w:val="upperLetter"/>
      <w:lvlText w:val="%1. "/>
      <w:legacy w:legacy="1" w:legacySpace="0" w:legacyIndent="283"/>
      <w:lvlJc w:val="left"/>
      <w:pPr>
        <w:ind w:left="283" w:hanging="283"/>
      </w:pPr>
      <w:rPr>
        <w:rFonts w:ascii="Courier New" w:hAnsi="Courier New" w:hint="default"/>
        <w:b w:val="0"/>
        <w:i w:val="0"/>
        <w:sz w:val="22"/>
        <w:u w:val="none"/>
      </w:rPr>
    </w:lvl>
  </w:abstractNum>
  <w:abstractNum w:abstractNumId="24" w15:restartNumberingAfterBreak="0">
    <w:nsid w:val="7FDC7A9B"/>
    <w:multiLevelType w:val="hybridMultilevel"/>
    <w:tmpl w:val="60167F60"/>
    <w:lvl w:ilvl="0" w:tplc="FFFFFFFF">
      <w:start w:val="1"/>
      <w:numFmt w:val="upperRoman"/>
      <w:lvlText w:val="%1."/>
      <w:lvlJc w:val="right"/>
      <w:pPr>
        <w:tabs>
          <w:tab w:val="num" w:pos="720"/>
        </w:tabs>
        <w:ind w:left="720" w:hanging="180"/>
      </w:pPr>
    </w:lvl>
    <w:lvl w:ilvl="1" w:tplc="648E0928">
      <w:start w:val="1"/>
      <w:numFmt w:val="upperRoman"/>
      <w:lvlText w:val="%2."/>
      <w:lvlJc w:val="right"/>
      <w:pPr>
        <w:tabs>
          <w:tab w:val="num" w:pos="1260"/>
        </w:tabs>
        <w:ind w:left="1260" w:hanging="18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0"/>
    <w:lvlOverride w:ilvl="0">
      <w:lvl w:ilvl="0">
        <w:start w:val="1"/>
        <w:numFmt w:val="bullet"/>
        <w:lvlText w:val=""/>
        <w:legacy w:legacy="1" w:legacySpace="0" w:legacyIndent="567"/>
        <w:lvlJc w:val="left"/>
        <w:pPr>
          <w:ind w:left="1287" w:hanging="567"/>
        </w:pPr>
        <w:rPr>
          <w:rFonts w:ascii="Monotype Sorts" w:hAnsi="Monotype Sorts" w:hint="default"/>
          <w:sz w:val="4"/>
        </w:rPr>
      </w:lvl>
    </w:lvlOverride>
  </w:num>
  <w:num w:numId="3">
    <w:abstractNumId w:val="0"/>
    <w:lvlOverride w:ilvl="0">
      <w:lvl w:ilvl="0">
        <w:start w:val="1"/>
        <w:numFmt w:val="bullet"/>
        <w:lvlText w:val=""/>
        <w:legacy w:legacy="1" w:legacySpace="0" w:legacyIndent="283"/>
        <w:lvlJc w:val="left"/>
        <w:pPr>
          <w:ind w:left="720" w:hanging="283"/>
        </w:pPr>
        <w:rPr>
          <w:rFonts w:ascii="Monotype Sorts" w:hAnsi="Monotype Sorts" w:hint="default"/>
          <w:sz w:val="4"/>
        </w:rPr>
      </w:lvl>
    </w:lvlOverride>
  </w:num>
  <w:num w:numId="4">
    <w:abstractNumId w:val="11"/>
  </w:num>
  <w:num w:numId="5">
    <w:abstractNumId w:val="23"/>
  </w:num>
  <w:num w:numId="6">
    <w:abstractNumId w:val="14"/>
  </w:num>
  <w:num w:numId="7">
    <w:abstractNumId w:val="16"/>
  </w:num>
  <w:num w:numId="8">
    <w:abstractNumId w:val="5"/>
  </w:num>
  <w:num w:numId="9">
    <w:abstractNumId w:val="20"/>
  </w:num>
  <w:num w:numId="10">
    <w:abstractNumId w:val="13"/>
  </w:num>
  <w:num w:numId="11">
    <w:abstractNumId w:val="22"/>
  </w:num>
  <w:num w:numId="12">
    <w:abstractNumId w:val="15"/>
  </w:num>
  <w:num w:numId="13">
    <w:abstractNumId w:val="18"/>
  </w:num>
  <w:num w:numId="14">
    <w:abstractNumId w:val="9"/>
  </w:num>
  <w:num w:numId="15">
    <w:abstractNumId w:val="21"/>
  </w:num>
  <w:num w:numId="16">
    <w:abstractNumId w:val="7"/>
  </w:num>
  <w:num w:numId="17">
    <w:abstractNumId w:val="3"/>
  </w:num>
  <w:num w:numId="18">
    <w:abstractNumId w:val="12"/>
  </w:num>
  <w:num w:numId="19">
    <w:abstractNumId w:val="8"/>
  </w:num>
  <w:num w:numId="20">
    <w:abstractNumId w:val="1"/>
  </w:num>
  <w:num w:numId="21">
    <w:abstractNumId w:val="24"/>
  </w:num>
  <w:num w:numId="22">
    <w:abstractNumId w:val="17"/>
  </w:num>
  <w:num w:numId="23">
    <w:abstractNumId w:val="19"/>
  </w:num>
  <w:num w:numId="24">
    <w:abstractNumId w:val="2"/>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38"/>
    <w:rsid w:val="000B32BB"/>
    <w:rsid w:val="000F3E3B"/>
    <w:rsid w:val="0013618D"/>
    <w:rsid w:val="001848C2"/>
    <w:rsid w:val="002406CF"/>
    <w:rsid w:val="00276170"/>
    <w:rsid w:val="003C299B"/>
    <w:rsid w:val="003F549C"/>
    <w:rsid w:val="00413894"/>
    <w:rsid w:val="00413AEE"/>
    <w:rsid w:val="00434120"/>
    <w:rsid w:val="004A0B31"/>
    <w:rsid w:val="004E02D7"/>
    <w:rsid w:val="00554D1F"/>
    <w:rsid w:val="00585E38"/>
    <w:rsid w:val="005A1755"/>
    <w:rsid w:val="005A18A7"/>
    <w:rsid w:val="005E4BEC"/>
    <w:rsid w:val="00620285"/>
    <w:rsid w:val="00685338"/>
    <w:rsid w:val="006C485C"/>
    <w:rsid w:val="00710E66"/>
    <w:rsid w:val="007740F3"/>
    <w:rsid w:val="007F1B5D"/>
    <w:rsid w:val="008F15F4"/>
    <w:rsid w:val="00941543"/>
    <w:rsid w:val="00A27606"/>
    <w:rsid w:val="00A84185"/>
    <w:rsid w:val="00B97C76"/>
    <w:rsid w:val="00C13759"/>
    <w:rsid w:val="00C32C98"/>
    <w:rsid w:val="00C67B33"/>
    <w:rsid w:val="00C802EB"/>
    <w:rsid w:val="00CB2BEE"/>
    <w:rsid w:val="00D706D6"/>
    <w:rsid w:val="00D951EF"/>
    <w:rsid w:val="00E342BD"/>
    <w:rsid w:val="00E76D41"/>
    <w:rsid w:val="00EC68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F1BCE95"/>
  <w15:chartTrackingRefBased/>
  <w15:docId w15:val="{C10A7348-E926-4108-A83E-E352DE32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ndhi Sans" w:eastAsiaTheme="minorHAnsi" w:hAnsi="Gandhi Sans"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85338"/>
    <w:pPr>
      <w:keepNext/>
      <w:spacing w:after="0" w:line="240" w:lineRule="auto"/>
      <w:jc w:val="center"/>
      <w:outlineLvl w:val="0"/>
    </w:pPr>
    <w:rPr>
      <w:rFonts w:ascii="Arial" w:eastAsia="Times New Roman" w:hAnsi="Arial"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5338"/>
    <w:rPr>
      <w:rFonts w:ascii="Arial" w:eastAsia="Times New Roman" w:hAnsi="Arial" w:cs="Times New Roman"/>
      <w:sz w:val="20"/>
      <w:szCs w:val="20"/>
      <w:u w:val="single"/>
      <w:lang w:val="es-ES_tradnl" w:eastAsia="es-ES"/>
    </w:rPr>
  </w:style>
  <w:style w:type="paragraph" w:styleId="Encabezado">
    <w:name w:val="header"/>
    <w:basedOn w:val="Normal"/>
    <w:link w:val="EncabezadoCar"/>
    <w:rsid w:val="00685338"/>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685338"/>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685338"/>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685338"/>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685338"/>
  </w:style>
  <w:style w:type="paragraph" w:styleId="Sangradetextonormal">
    <w:name w:val="Body Text Indent"/>
    <w:basedOn w:val="Normal"/>
    <w:link w:val="SangradetextonormalCar"/>
    <w:rsid w:val="00685338"/>
    <w:pPr>
      <w:spacing w:after="0" w:line="240" w:lineRule="auto"/>
      <w:ind w:left="284" w:hanging="284"/>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685338"/>
    <w:rPr>
      <w:rFonts w:ascii="Arial" w:eastAsia="Times New Roman" w:hAnsi="Arial" w:cs="Times New Roman"/>
      <w:sz w:val="20"/>
      <w:szCs w:val="20"/>
      <w:lang w:val="es-ES_tradnl" w:eastAsia="es-ES"/>
    </w:rPr>
  </w:style>
  <w:style w:type="paragraph" w:styleId="Sangra2detindependiente">
    <w:name w:val="Body Text Indent 2"/>
    <w:basedOn w:val="Normal"/>
    <w:link w:val="Sangra2detindependienteCar"/>
    <w:rsid w:val="00685338"/>
    <w:pPr>
      <w:numPr>
        <w:ilvl w:val="12"/>
      </w:numPr>
      <w:spacing w:after="0" w:line="240" w:lineRule="auto"/>
      <w:ind w:left="284"/>
      <w:jc w:val="both"/>
    </w:pPr>
    <w:rPr>
      <w:rFonts w:ascii="Arial" w:eastAsia="Times New Roman" w:hAnsi="Arial"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685338"/>
    <w:rPr>
      <w:rFonts w:ascii="Arial" w:eastAsia="Times New Roman" w:hAnsi="Arial" w:cs="Times New Roman"/>
      <w:sz w:val="20"/>
      <w:szCs w:val="20"/>
      <w:lang w:val="es-ES_tradnl" w:eastAsia="es-ES"/>
    </w:rPr>
  </w:style>
  <w:style w:type="paragraph" w:styleId="Textoindependiente">
    <w:name w:val="Body Text"/>
    <w:basedOn w:val="Normal"/>
    <w:link w:val="TextoindependienteCar"/>
    <w:rsid w:val="00685338"/>
    <w:pPr>
      <w:spacing w:after="0" w:line="240" w:lineRule="auto"/>
      <w:jc w:val="both"/>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rsid w:val="00685338"/>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685338"/>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685338"/>
    <w:rPr>
      <w:rFonts w:ascii="Times New Roman" w:eastAsia="Times New Roman" w:hAnsi="Times New Roman" w:cs="Times New Roman"/>
      <w:sz w:val="16"/>
      <w:szCs w:val="16"/>
      <w:lang w:val="es-ES_tradnl" w:eastAsia="es-ES"/>
    </w:rPr>
  </w:style>
  <w:style w:type="paragraph" w:styleId="Textoindependiente2">
    <w:name w:val="Body Text 2"/>
    <w:basedOn w:val="Normal"/>
    <w:link w:val="Textoindependiente2Car"/>
    <w:rsid w:val="00685338"/>
    <w:pPr>
      <w:spacing w:after="120" w:line="480" w:lineRule="auto"/>
    </w:pPr>
    <w:rPr>
      <w:rFonts w:ascii="Times New Roman" w:eastAsia="Times New Roman"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rsid w:val="00685338"/>
    <w:rPr>
      <w:rFonts w:ascii="Times New Roman" w:eastAsia="Times New Roman" w:hAnsi="Times New Roman" w:cs="Times New Roman"/>
      <w:sz w:val="20"/>
      <w:szCs w:val="20"/>
      <w:lang w:val="es-ES_tradnl" w:eastAsia="es-ES"/>
    </w:rPr>
  </w:style>
  <w:style w:type="character" w:customStyle="1" w:styleId="apple-style-span">
    <w:name w:val="apple-style-span"/>
    <w:basedOn w:val="Fuentedeprrafopredeter"/>
    <w:rsid w:val="00685338"/>
  </w:style>
  <w:style w:type="character" w:styleId="Textoennegrita">
    <w:name w:val="Strong"/>
    <w:basedOn w:val="Fuentedeprrafopredeter"/>
    <w:qFormat/>
    <w:rsid w:val="00685338"/>
    <w:rPr>
      <w:b/>
      <w:bCs/>
    </w:rPr>
  </w:style>
  <w:style w:type="table" w:styleId="Tablaconcuadrcula">
    <w:name w:val="Table Grid"/>
    <w:basedOn w:val="Tablanormal"/>
    <w:rsid w:val="0068533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B2B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BEE"/>
    <w:rPr>
      <w:rFonts w:ascii="Segoe UI" w:hAnsi="Segoe UI" w:cs="Segoe UI"/>
      <w:sz w:val="18"/>
      <w:szCs w:val="18"/>
    </w:rPr>
  </w:style>
  <w:style w:type="character" w:customStyle="1" w:styleId="apple-converted-space">
    <w:name w:val="apple-converted-space"/>
    <w:basedOn w:val="Fuentedeprrafopredeter"/>
    <w:rsid w:val="007F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49768">
      <w:bodyDiv w:val="1"/>
      <w:marLeft w:val="0"/>
      <w:marRight w:val="0"/>
      <w:marTop w:val="0"/>
      <w:marBottom w:val="0"/>
      <w:divBdr>
        <w:top w:val="none" w:sz="0" w:space="0" w:color="auto"/>
        <w:left w:val="none" w:sz="0" w:space="0" w:color="auto"/>
        <w:bottom w:val="none" w:sz="0" w:space="0" w:color="auto"/>
        <w:right w:val="none" w:sz="0" w:space="0" w:color="auto"/>
      </w:divBdr>
    </w:div>
    <w:div w:id="595938653">
      <w:bodyDiv w:val="1"/>
      <w:marLeft w:val="0"/>
      <w:marRight w:val="0"/>
      <w:marTop w:val="0"/>
      <w:marBottom w:val="0"/>
      <w:divBdr>
        <w:top w:val="none" w:sz="0" w:space="0" w:color="auto"/>
        <w:left w:val="none" w:sz="0" w:space="0" w:color="auto"/>
        <w:bottom w:val="none" w:sz="0" w:space="0" w:color="auto"/>
        <w:right w:val="none" w:sz="0" w:space="0" w:color="auto"/>
      </w:divBdr>
    </w:div>
    <w:div w:id="704915717">
      <w:bodyDiv w:val="1"/>
      <w:marLeft w:val="0"/>
      <w:marRight w:val="0"/>
      <w:marTop w:val="0"/>
      <w:marBottom w:val="0"/>
      <w:divBdr>
        <w:top w:val="none" w:sz="0" w:space="0" w:color="auto"/>
        <w:left w:val="none" w:sz="0" w:space="0" w:color="auto"/>
        <w:bottom w:val="none" w:sz="0" w:space="0" w:color="auto"/>
        <w:right w:val="none" w:sz="0" w:space="0" w:color="auto"/>
      </w:divBdr>
    </w:div>
    <w:div w:id="1169951728">
      <w:bodyDiv w:val="1"/>
      <w:marLeft w:val="0"/>
      <w:marRight w:val="0"/>
      <w:marTop w:val="0"/>
      <w:marBottom w:val="0"/>
      <w:divBdr>
        <w:top w:val="none" w:sz="0" w:space="0" w:color="auto"/>
        <w:left w:val="none" w:sz="0" w:space="0" w:color="auto"/>
        <w:bottom w:val="none" w:sz="0" w:space="0" w:color="auto"/>
        <w:right w:val="none" w:sz="0" w:space="0" w:color="auto"/>
      </w:divBdr>
    </w:div>
    <w:div w:id="141574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2390</Words>
  <Characters>13627</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35</cp:revision>
  <cp:lastPrinted>2021-02-12T16:39:00Z</cp:lastPrinted>
  <dcterms:created xsi:type="dcterms:W3CDTF">2015-07-10T16:57:00Z</dcterms:created>
  <dcterms:modified xsi:type="dcterms:W3CDTF">2021-02-12T16:39:00Z</dcterms:modified>
</cp:coreProperties>
</file>